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CC1B5" w14:textId="77777777" w:rsidR="007A2FA0" w:rsidRDefault="007A2FA0" w:rsidP="007A2FA0">
      <w:pPr>
        <w:jc w:val="right"/>
        <w:rPr>
          <w:i/>
          <w:sz w:val="18"/>
        </w:rPr>
      </w:pPr>
      <w:r>
        <w:rPr>
          <w:i/>
          <w:sz w:val="18"/>
        </w:rPr>
        <w:t xml:space="preserve">Załącznik nr 2 do Regulaminu Funduszu Pożyczka Płynnościowa POIR </w:t>
      </w:r>
    </w:p>
    <w:p w14:paraId="7FCD808C" w14:textId="77777777" w:rsidR="005B7393" w:rsidRPr="007A2FA0" w:rsidRDefault="005B7393" w:rsidP="005B7393">
      <w:pPr>
        <w:pStyle w:val="Akapitzlist"/>
        <w:spacing w:after="0"/>
        <w:contextualSpacing w:val="0"/>
        <w:jc w:val="right"/>
        <w:rPr>
          <w:i/>
          <w:sz w:val="18"/>
        </w:rPr>
      </w:pPr>
      <w:r w:rsidRPr="007A2FA0">
        <w:rPr>
          <w:i/>
          <w:sz w:val="18"/>
        </w:rPr>
        <w:t>Załącznik nr 4 do Aneksu nr 3 - Załącznik nr 9</w:t>
      </w:r>
    </w:p>
    <w:p w14:paraId="553F7DE4" w14:textId="0EFC23BC" w:rsidR="005B7393" w:rsidRPr="005B7393" w:rsidRDefault="005B7393" w:rsidP="007A2FA0">
      <w:pPr>
        <w:pStyle w:val="Akapitzlist"/>
        <w:spacing w:after="0"/>
        <w:ind w:left="0"/>
        <w:contextualSpacing w:val="0"/>
        <w:jc w:val="right"/>
        <w:rPr>
          <w:i/>
          <w:sz w:val="18"/>
        </w:rPr>
      </w:pPr>
      <w:r w:rsidRPr="007A2FA0">
        <w:rPr>
          <w:i/>
          <w:sz w:val="18"/>
        </w:rPr>
        <w:t>do Umowy Operacyjnej – Pożyczka Płynnościowa POIR nr</w:t>
      </w:r>
      <w:r w:rsidRPr="007A2FA0">
        <w:rPr>
          <w:sz w:val="18"/>
        </w:rPr>
        <w:t xml:space="preserve"> </w:t>
      </w:r>
      <w:r w:rsidRPr="007A2FA0">
        <w:rPr>
          <w:i/>
          <w:sz w:val="18"/>
        </w:rPr>
        <w:t>2/POIR/11420/2020/VI/DIF/338</w:t>
      </w:r>
    </w:p>
    <w:p w14:paraId="71B64434" w14:textId="77777777" w:rsidR="00346CB0" w:rsidRPr="00321EFA" w:rsidRDefault="00346CB0" w:rsidP="007A2FA0">
      <w:pPr>
        <w:pStyle w:val="Akapitzlist"/>
        <w:spacing w:after="0"/>
        <w:ind w:left="0"/>
        <w:contextualSpacing w:val="0"/>
        <w:jc w:val="right"/>
        <w:rPr>
          <w:b/>
        </w:rPr>
      </w:pPr>
    </w:p>
    <w:p w14:paraId="5C23BC74" w14:textId="77777777" w:rsidR="007862C0" w:rsidRDefault="007862C0" w:rsidP="006B26B1">
      <w:pPr>
        <w:pStyle w:val="Akapitzlist"/>
        <w:spacing w:after="120"/>
        <w:ind w:left="0"/>
        <w:contextualSpacing w:val="0"/>
        <w:jc w:val="center"/>
        <w:rPr>
          <w:rFonts w:cstheme="minorHAnsi"/>
          <w:b/>
          <w:sz w:val="20"/>
          <w:szCs w:val="20"/>
        </w:rPr>
      </w:pPr>
    </w:p>
    <w:p w14:paraId="736A8294" w14:textId="38300F12" w:rsidR="005F3EAE" w:rsidRPr="007A2FA0" w:rsidRDefault="00A543DB" w:rsidP="006B26B1">
      <w:pPr>
        <w:pStyle w:val="Akapitzlist"/>
        <w:spacing w:after="120"/>
        <w:ind w:left="0"/>
        <w:contextualSpacing w:val="0"/>
        <w:jc w:val="center"/>
        <w:rPr>
          <w:rFonts w:cstheme="minorHAnsi"/>
          <w:b/>
          <w:sz w:val="20"/>
          <w:szCs w:val="20"/>
        </w:rPr>
      </w:pPr>
      <w:r w:rsidRPr="007A2FA0">
        <w:rPr>
          <w:rFonts w:cstheme="minorHAnsi"/>
          <w:b/>
          <w:sz w:val="20"/>
          <w:szCs w:val="20"/>
        </w:rPr>
        <w:t xml:space="preserve">Karta Produktu </w:t>
      </w:r>
      <w:r w:rsidR="00242BE0" w:rsidRPr="007A2FA0">
        <w:rPr>
          <w:rFonts w:cstheme="minorHAnsi"/>
          <w:b/>
          <w:sz w:val="20"/>
          <w:szCs w:val="20"/>
        </w:rPr>
        <w:t xml:space="preserve">Pożyczka </w:t>
      </w:r>
      <w:r w:rsidR="00726A24" w:rsidRPr="007A2FA0">
        <w:rPr>
          <w:rFonts w:cstheme="minorHAnsi"/>
          <w:b/>
          <w:sz w:val="20"/>
          <w:szCs w:val="20"/>
        </w:rPr>
        <w:t>Płynnościowa POIR</w:t>
      </w:r>
    </w:p>
    <w:p w14:paraId="58204AAB" w14:textId="77777777" w:rsidR="005F3EAE" w:rsidRPr="007A2FA0" w:rsidRDefault="005F3EAE" w:rsidP="006B26B1">
      <w:pPr>
        <w:pStyle w:val="Akapitzlist"/>
        <w:spacing w:after="120"/>
        <w:ind w:left="0"/>
        <w:contextualSpacing w:val="0"/>
        <w:jc w:val="both"/>
        <w:rPr>
          <w:rFonts w:cstheme="minorHAnsi"/>
          <w:b/>
          <w:sz w:val="20"/>
          <w:szCs w:val="20"/>
        </w:rPr>
      </w:pPr>
    </w:p>
    <w:p w14:paraId="37F506F7" w14:textId="572E84E8" w:rsidR="007678C3" w:rsidRPr="007A2FA0" w:rsidRDefault="007678C3" w:rsidP="006B26B1">
      <w:pPr>
        <w:pStyle w:val="Akapitzlist"/>
        <w:numPr>
          <w:ilvl w:val="0"/>
          <w:numId w:val="13"/>
        </w:numPr>
        <w:spacing w:after="120"/>
        <w:ind w:left="426" w:hanging="426"/>
        <w:contextualSpacing w:val="0"/>
        <w:jc w:val="both"/>
        <w:rPr>
          <w:rFonts w:cstheme="minorHAnsi"/>
          <w:b/>
          <w:sz w:val="20"/>
          <w:szCs w:val="20"/>
        </w:rPr>
      </w:pPr>
      <w:r w:rsidRPr="007A2FA0">
        <w:rPr>
          <w:rFonts w:cstheme="minorHAnsi"/>
          <w:b/>
          <w:sz w:val="20"/>
          <w:szCs w:val="20"/>
        </w:rPr>
        <w:t xml:space="preserve">Podstawowe parametry </w:t>
      </w:r>
      <w:r w:rsidR="005F7B39" w:rsidRPr="007A2FA0">
        <w:rPr>
          <w:rFonts w:cstheme="minorHAnsi"/>
          <w:b/>
          <w:sz w:val="20"/>
          <w:szCs w:val="20"/>
        </w:rPr>
        <w:t xml:space="preserve">Pożyczki </w:t>
      </w:r>
      <w:r w:rsidR="00726A24" w:rsidRPr="007A2FA0">
        <w:rPr>
          <w:rFonts w:cstheme="minorHAnsi"/>
          <w:b/>
          <w:sz w:val="20"/>
          <w:szCs w:val="20"/>
        </w:rPr>
        <w:t>Płynnościowej POIR</w:t>
      </w:r>
      <w:r w:rsidR="00AA5E0B" w:rsidRPr="007A2FA0">
        <w:rPr>
          <w:rFonts w:cstheme="minorHAnsi"/>
          <w:b/>
          <w:sz w:val="20"/>
          <w:szCs w:val="20"/>
        </w:rPr>
        <w:t xml:space="preserve"> (dalej: Pożyczka)</w:t>
      </w:r>
    </w:p>
    <w:p w14:paraId="284AB7B0" w14:textId="6AA29923" w:rsidR="00726A24" w:rsidRPr="007A2FA0" w:rsidRDefault="00E2621E" w:rsidP="00726A24">
      <w:pPr>
        <w:pStyle w:val="Akapitzlist"/>
        <w:numPr>
          <w:ilvl w:val="0"/>
          <w:numId w:val="11"/>
        </w:numPr>
        <w:spacing w:after="120"/>
        <w:ind w:left="426" w:hanging="426"/>
        <w:contextualSpacing w:val="0"/>
        <w:jc w:val="both"/>
        <w:rPr>
          <w:rFonts w:cstheme="minorHAnsi"/>
          <w:sz w:val="20"/>
          <w:szCs w:val="20"/>
        </w:rPr>
      </w:pPr>
      <w:r w:rsidRPr="007A2FA0">
        <w:rPr>
          <w:rFonts w:cstheme="minorHAnsi"/>
          <w:sz w:val="20"/>
          <w:szCs w:val="20"/>
        </w:rPr>
        <w:t xml:space="preserve">Łączna wartość finansowania, tj. łączna wartość Jednostkowych Pożyczek udzielonych jednemu </w:t>
      </w:r>
      <w:r w:rsidR="001536EF" w:rsidRPr="007A2FA0">
        <w:rPr>
          <w:rFonts w:cstheme="minorHAnsi"/>
          <w:sz w:val="20"/>
          <w:szCs w:val="20"/>
        </w:rPr>
        <w:t>przedsiębiorcy ze środków Projektu nie może przekroczyć 15 mln zł</w:t>
      </w:r>
      <w:r w:rsidR="001536EF" w:rsidRPr="007A2FA0">
        <w:rPr>
          <w:rStyle w:val="Odwoanieprzypisudolnego"/>
          <w:rFonts w:cstheme="minorHAnsi"/>
          <w:sz w:val="20"/>
          <w:szCs w:val="20"/>
        </w:rPr>
        <w:footnoteReference w:id="1"/>
      </w:r>
      <w:r w:rsidR="001536EF" w:rsidRPr="007A2FA0">
        <w:rPr>
          <w:rFonts w:cstheme="minorHAnsi"/>
          <w:sz w:val="20"/>
          <w:szCs w:val="20"/>
        </w:rPr>
        <w:t>,</w:t>
      </w:r>
      <w:r w:rsidRPr="007A2FA0">
        <w:rPr>
          <w:rFonts w:cstheme="minorHAnsi"/>
          <w:sz w:val="20"/>
          <w:szCs w:val="20"/>
        </w:rPr>
        <w:t xml:space="preserve"> z uwzględnieniem postanowień pkt 2.</w:t>
      </w:r>
    </w:p>
    <w:p w14:paraId="1DADFE99" w14:textId="26A838D5" w:rsidR="00726A24" w:rsidRPr="007A2FA0" w:rsidRDefault="00E2621E" w:rsidP="00726A24">
      <w:pPr>
        <w:pStyle w:val="Akapitzlist"/>
        <w:numPr>
          <w:ilvl w:val="0"/>
          <w:numId w:val="11"/>
        </w:numPr>
        <w:spacing w:after="120"/>
        <w:ind w:left="426" w:hanging="426"/>
        <w:contextualSpacing w:val="0"/>
        <w:jc w:val="both"/>
        <w:rPr>
          <w:rFonts w:cstheme="minorHAnsi"/>
          <w:sz w:val="20"/>
          <w:szCs w:val="20"/>
        </w:rPr>
      </w:pPr>
      <w:r w:rsidRPr="007A2FA0">
        <w:rPr>
          <w:rFonts w:cstheme="minorHAnsi"/>
          <w:sz w:val="20"/>
          <w:szCs w:val="20"/>
        </w:rPr>
        <w:t xml:space="preserve">Z zastrzeżeniem pkt 1, wartość finansowania na rzecz jednego przedsiębiorcy </w:t>
      </w:r>
      <w:r w:rsidR="00C2625D" w:rsidRPr="007A2FA0">
        <w:rPr>
          <w:rFonts w:cstheme="minorHAnsi"/>
          <w:sz w:val="20"/>
          <w:szCs w:val="20"/>
        </w:rPr>
        <w:t>ze środków Projektu</w:t>
      </w:r>
      <w:r w:rsidR="00C2625D" w:rsidRPr="007A2FA0">
        <w:rPr>
          <w:rStyle w:val="Odwoanieprzypisudolnego"/>
          <w:rFonts w:cstheme="minorHAnsi"/>
          <w:sz w:val="20"/>
          <w:szCs w:val="20"/>
        </w:rPr>
        <w:footnoteReference w:id="2"/>
      </w:r>
      <w:r w:rsidR="00726A24" w:rsidRPr="007A2FA0">
        <w:rPr>
          <w:rFonts w:cstheme="minorHAnsi"/>
          <w:sz w:val="20"/>
          <w:szCs w:val="20"/>
        </w:rPr>
        <w:t>, nie może przekraczać:</w:t>
      </w:r>
    </w:p>
    <w:p w14:paraId="370D0541" w14:textId="313E1F6B" w:rsidR="00726A24" w:rsidRPr="007A2FA0" w:rsidRDefault="00D5172C" w:rsidP="00726A24">
      <w:pPr>
        <w:pStyle w:val="Akapitzlist"/>
        <w:numPr>
          <w:ilvl w:val="0"/>
          <w:numId w:val="35"/>
        </w:numPr>
        <w:spacing w:after="120"/>
        <w:ind w:left="992" w:hanging="357"/>
        <w:contextualSpacing w:val="0"/>
        <w:jc w:val="both"/>
        <w:rPr>
          <w:rFonts w:cstheme="minorHAnsi"/>
          <w:sz w:val="20"/>
          <w:szCs w:val="20"/>
        </w:rPr>
      </w:pPr>
      <w:r w:rsidRPr="007A2FA0">
        <w:rPr>
          <w:rFonts w:cstheme="minorHAnsi"/>
          <w:sz w:val="20"/>
          <w:szCs w:val="20"/>
        </w:rPr>
        <w:t>dwukrotności rocznych kosztów wynagrodzeń wypłaconych przez Pożyczkobiorcę oraz kosztów personelu pracującego na terenie jego przedsiębiorstwa, ale otrzymującego wynagrodzenie od podwykonawców, za rok 2019 lub za ostatni rok, za który dostępne są dane; w przypadku przedsiębiorstw utworzonych w dniu 1 stycznia 2019 r. lub po tym dniu maksymalna kwota pożyczki nie może przekroczyć rocznych kosztów wynagrodzeń szacowanych na okres pierwszych dwóch lat działalności</w:t>
      </w:r>
      <w:r w:rsidR="00726A24" w:rsidRPr="007A2FA0">
        <w:rPr>
          <w:rFonts w:cstheme="minorHAnsi"/>
          <w:sz w:val="20"/>
          <w:szCs w:val="20"/>
        </w:rPr>
        <w:t>; albo</w:t>
      </w:r>
    </w:p>
    <w:p w14:paraId="098F6802" w14:textId="27999420" w:rsidR="00726A24" w:rsidRPr="007A2FA0" w:rsidRDefault="00726A24" w:rsidP="00726A24">
      <w:pPr>
        <w:pStyle w:val="Akapitzlist"/>
        <w:numPr>
          <w:ilvl w:val="0"/>
          <w:numId w:val="35"/>
        </w:numPr>
        <w:spacing w:after="120"/>
        <w:ind w:left="992" w:hanging="357"/>
        <w:contextualSpacing w:val="0"/>
        <w:jc w:val="both"/>
        <w:rPr>
          <w:rFonts w:cstheme="minorHAnsi"/>
          <w:sz w:val="20"/>
          <w:szCs w:val="20"/>
        </w:rPr>
      </w:pPr>
      <w:r w:rsidRPr="007A2FA0">
        <w:rPr>
          <w:rFonts w:cstheme="minorHAnsi"/>
          <w:sz w:val="20"/>
          <w:szCs w:val="20"/>
        </w:rPr>
        <w:t xml:space="preserve">25% łącznego obrotu </w:t>
      </w:r>
      <w:r w:rsidR="00D4250C" w:rsidRPr="007A2FA0">
        <w:rPr>
          <w:rFonts w:cstheme="minorHAnsi"/>
          <w:sz w:val="20"/>
          <w:szCs w:val="20"/>
        </w:rPr>
        <w:t xml:space="preserve">Pożyczkobiorcy </w:t>
      </w:r>
      <w:r w:rsidRPr="007A2FA0">
        <w:rPr>
          <w:rFonts w:cstheme="minorHAnsi"/>
          <w:sz w:val="20"/>
          <w:szCs w:val="20"/>
        </w:rPr>
        <w:t>w 2019 r.; albo</w:t>
      </w:r>
    </w:p>
    <w:p w14:paraId="5470B89B" w14:textId="3CCDA540" w:rsidR="00726A24" w:rsidRPr="007A2FA0" w:rsidRDefault="00D5172C" w:rsidP="00726A24">
      <w:pPr>
        <w:pStyle w:val="Akapitzlist"/>
        <w:numPr>
          <w:ilvl w:val="0"/>
          <w:numId w:val="35"/>
        </w:numPr>
        <w:spacing w:after="120"/>
        <w:ind w:left="992" w:hanging="357"/>
        <w:contextualSpacing w:val="0"/>
        <w:jc w:val="both"/>
        <w:rPr>
          <w:rFonts w:cstheme="minorHAnsi"/>
          <w:sz w:val="20"/>
          <w:szCs w:val="20"/>
        </w:rPr>
      </w:pPr>
      <w:r w:rsidRPr="007A2FA0">
        <w:rPr>
          <w:rFonts w:cstheme="minorHAnsi"/>
          <w:sz w:val="20"/>
          <w:szCs w:val="20"/>
        </w:rPr>
        <w:t xml:space="preserve">jeżeli przemawia za tym interes społeczny lub ważny interes przedsiębiorcy i w oparciu </w:t>
      </w:r>
      <w:r w:rsidR="000A38D0" w:rsidRPr="007A2FA0">
        <w:rPr>
          <w:rFonts w:cstheme="minorHAnsi"/>
          <w:sz w:val="20"/>
          <w:szCs w:val="20"/>
        </w:rPr>
        <w:br/>
      </w:r>
      <w:r w:rsidRPr="007A2FA0">
        <w:rPr>
          <w:rFonts w:cstheme="minorHAnsi"/>
          <w:sz w:val="20"/>
          <w:szCs w:val="20"/>
        </w:rPr>
        <w:t>o oświadczenie przedsiębiorcy o zapotrzebowaniu na płynność finansową, poparte odpowiednim uzasadnieniem, kwota główna pożyczki może zostać zwiększona w celu pokrycia zapotrzebowania na płynność finansową od dnia udzielenia pomocy przez najbliższe 18 miesięcy</w:t>
      </w:r>
      <w:r w:rsidR="00D4250C" w:rsidRPr="007A2FA0">
        <w:rPr>
          <w:rFonts w:cstheme="minorHAnsi"/>
          <w:sz w:val="20"/>
          <w:szCs w:val="20"/>
        </w:rPr>
        <w:t>,</w:t>
      </w:r>
    </w:p>
    <w:p w14:paraId="650E5C44" w14:textId="30C447C0" w:rsidR="00D4250C" w:rsidRPr="007A2FA0" w:rsidRDefault="00D4250C" w:rsidP="00D4250C">
      <w:pPr>
        <w:spacing w:after="120"/>
        <w:ind w:left="426"/>
        <w:jc w:val="both"/>
        <w:rPr>
          <w:rFonts w:cstheme="minorHAnsi"/>
          <w:sz w:val="20"/>
          <w:szCs w:val="20"/>
        </w:rPr>
      </w:pPr>
      <w:r w:rsidRPr="007A2FA0">
        <w:rPr>
          <w:rFonts w:cstheme="minorHAnsi"/>
          <w:sz w:val="20"/>
          <w:szCs w:val="20"/>
        </w:rPr>
        <w:t>przy czym ostateczna decyzja o wysokości udzielonej Pożyczki należy do Pożyczkodawcy.</w:t>
      </w:r>
    </w:p>
    <w:p w14:paraId="1D6999E5" w14:textId="640E9D37" w:rsidR="00875729" w:rsidRPr="007A2FA0" w:rsidRDefault="00CF76FB" w:rsidP="006B26B1">
      <w:pPr>
        <w:pStyle w:val="Akapitzlist"/>
        <w:numPr>
          <w:ilvl w:val="0"/>
          <w:numId w:val="11"/>
        </w:numPr>
        <w:spacing w:after="120"/>
        <w:ind w:left="426" w:hanging="426"/>
        <w:contextualSpacing w:val="0"/>
        <w:jc w:val="both"/>
        <w:rPr>
          <w:rFonts w:cstheme="minorHAnsi"/>
          <w:sz w:val="20"/>
          <w:szCs w:val="20"/>
        </w:rPr>
      </w:pPr>
      <w:r w:rsidRPr="007A2FA0">
        <w:rPr>
          <w:rFonts w:cstheme="minorHAnsi"/>
          <w:sz w:val="20"/>
          <w:szCs w:val="20"/>
        </w:rPr>
        <w:t>Pożyczkobiorca nie wnosi wkładu własnego</w:t>
      </w:r>
      <w:r w:rsidR="00FD1A3D" w:rsidRPr="007A2FA0">
        <w:rPr>
          <w:rFonts w:cstheme="minorHAnsi"/>
          <w:sz w:val="20"/>
          <w:szCs w:val="20"/>
        </w:rPr>
        <w:t>.</w:t>
      </w:r>
    </w:p>
    <w:p w14:paraId="7F8CD016" w14:textId="53FD87D4" w:rsidR="00A51C14" w:rsidRPr="007A2FA0" w:rsidRDefault="00A51C14" w:rsidP="006B26B1">
      <w:pPr>
        <w:pStyle w:val="Akapitzlist"/>
        <w:numPr>
          <w:ilvl w:val="0"/>
          <w:numId w:val="11"/>
        </w:numPr>
        <w:spacing w:after="120"/>
        <w:ind w:left="426" w:hanging="426"/>
        <w:contextualSpacing w:val="0"/>
        <w:jc w:val="both"/>
        <w:rPr>
          <w:rFonts w:cstheme="minorHAnsi"/>
          <w:sz w:val="20"/>
          <w:szCs w:val="20"/>
        </w:rPr>
      </w:pPr>
      <w:r w:rsidRPr="007A2FA0">
        <w:rPr>
          <w:rFonts w:cstheme="minorHAnsi"/>
          <w:sz w:val="20"/>
          <w:szCs w:val="20"/>
        </w:rPr>
        <w:t xml:space="preserve">Maksymalny termin na wypłatę całkowitej kwoty </w:t>
      </w:r>
      <w:r w:rsidR="00A21B2D" w:rsidRPr="007A2FA0">
        <w:rPr>
          <w:rFonts w:cstheme="minorHAnsi"/>
          <w:sz w:val="20"/>
          <w:szCs w:val="20"/>
        </w:rPr>
        <w:t xml:space="preserve">Pożyczki </w:t>
      </w:r>
      <w:r w:rsidR="005F7B39" w:rsidRPr="007A2FA0">
        <w:rPr>
          <w:rFonts w:cstheme="minorHAnsi"/>
          <w:sz w:val="20"/>
          <w:szCs w:val="20"/>
        </w:rPr>
        <w:t xml:space="preserve">przez </w:t>
      </w:r>
      <w:r w:rsidR="004E30FA" w:rsidRPr="007A2FA0">
        <w:rPr>
          <w:rFonts w:cstheme="minorHAnsi"/>
          <w:sz w:val="20"/>
          <w:szCs w:val="20"/>
        </w:rPr>
        <w:t>Pożyczkodawcę</w:t>
      </w:r>
      <w:r w:rsidR="005F7B39" w:rsidRPr="007A2FA0">
        <w:rPr>
          <w:rFonts w:cstheme="minorHAnsi"/>
          <w:sz w:val="20"/>
          <w:szCs w:val="20"/>
        </w:rPr>
        <w:t xml:space="preserve"> wynosi </w:t>
      </w:r>
      <w:r w:rsidR="00726A24" w:rsidRPr="007A2FA0">
        <w:rPr>
          <w:rFonts w:cstheme="minorHAnsi"/>
          <w:sz w:val="20"/>
          <w:szCs w:val="20"/>
        </w:rPr>
        <w:t xml:space="preserve">30 </w:t>
      </w:r>
      <w:r w:rsidRPr="007A2FA0">
        <w:rPr>
          <w:rFonts w:cstheme="minorHAnsi"/>
          <w:sz w:val="20"/>
          <w:szCs w:val="20"/>
        </w:rPr>
        <w:t>dni k</w:t>
      </w:r>
      <w:r w:rsidR="00D00D62" w:rsidRPr="007A2FA0">
        <w:rPr>
          <w:rFonts w:cstheme="minorHAnsi"/>
          <w:sz w:val="20"/>
          <w:szCs w:val="20"/>
        </w:rPr>
        <w:t>alendarzowych od dnia zawarcia u</w:t>
      </w:r>
      <w:r w:rsidRPr="007A2FA0">
        <w:rPr>
          <w:rFonts w:cstheme="minorHAnsi"/>
          <w:sz w:val="20"/>
          <w:szCs w:val="20"/>
        </w:rPr>
        <w:t xml:space="preserve">mowy </w:t>
      </w:r>
      <w:r w:rsidR="00D00D62" w:rsidRPr="007A2FA0">
        <w:rPr>
          <w:rFonts w:cstheme="minorHAnsi"/>
          <w:sz w:val="20"/>
          <w:szCs w:val="20"/>
        </w:rPr>
        <w:t>Pożyczki</w:t>
      </w:r>
      <w:r w:rsidRPr="007A2FA0">
        <w:rPr>
          <w:rFonts w:cstheme="minorHAnsi"/>
          <w:sz w:val="20"/>
          <w:szCs w:val="20"/>
        </w:rPr>
        <w:t xml:space="preserve">. </w:t>
      </w:r>
      <w:r w:rsidR="00726A24" w:rsidRPr="007A2FA0">
        <w:rPr>
          <w:rFonts w:cstheme="minorHAnsi"/>
          <w:sz w:val="20"/>
          <w:szCs w:val="20"/>
        </w:rPr>
        <w:t xml:space="preserve">W odpowiednio uzasadnionych przypadkach, </w:t>
      </w:r>
      <w:r w:rsidR="004E30FA" w:rsidRPr="007A2FA0">
        <w:rPr>
          <w:rFonts w:cstheme="minorHAnsi"/>
          <w:sz w:val="20"/>
          <w:szCs w:val="20"/>
        </w:rPr>
        <w:t>Pożyczkodawca</w:t>
      </w:r>
      <w:r w:rsidR="00726A24" w:rsidRPr="007A2FA0">
        <w:rPr>
          <w:rFonts w:cstheme="minorHAnsi"/>
          <w:sz w:val="20"/>
          <w:szCs w:val="20"/>
        </w:rPr>
        <w:t xml:space="preserve"> może wydłużyć termin na wypłatę środków </w:t>
      </w:r>
      <w:r w:rsidR="009C2EC4" w:rsidRPr="007A2FA0">
        <w:rPr>
          <w:rFonts w:cstheme="minorHAnsi"/>
          <w:sz w:val="20"/>
          <w:szCs w:val="20"/>
        </w:rPr>
        <w:t>P</w:t>
      </w:r>
      <w:r w:rsidR="00726A24" w:rsidRPr="007A2FA0">
        <w:rPr>
          <w:rFonts w:cstheme="minorHAnsi"/>
          <w:sz w:val="20"/>
          <w:szCs w:val="20"/>
        </w:rPr>
        <w:t xml:space="preserve">ożyczki. </w:t>
      </w:r>
    </w:p>
    <w:p w14:paraId="6386264E" w14:textId="27A2164E" w:rsidR="00097D21" w:rsidRPr="007A2FA0" w:rsidRDefault="00097D21" w:rsidP="006B26B1">
      <w:pPr>
        <w:pStyle w:val="Akapitzlist"/>
        <w:numPr>
          <w:ilvl w:val="0"/>
          <w:numId w:val="11"/>
        </w:numPr>
        <w:spacing w:after="120"/>
        <w:ind w:left="426" w:hanging="426"/>
        <w:contextualSpacing w:val="0"/>
        <w:jc w:val="both"/>
        <w:rPr>
          <w:rFonts w:cstheme="minorHAnsi"/>
          <w:sz w:val="20"/>
          <w:szCs w:val="20"/>
        </w:rPr>
      </w:pPr>
      <w:r w:rsidRPr="007A2FA0">
        <w:rPr>
          <w:rFonts w:cstheme="minorHAnsi"/>
          <w:sz w:val="20"/>
          <w:szCs w:val="20"/>
        </w:rPr>
        <w:t xml:space="preserve">Maksymalny okres spłaty </w:t>
      </w:r>
      <w:r w:rsidR="00A21B2D" w:rsidRPr="007A2FA0">
        <w:rPr>
          <w:rFonts w:cstheme="minorHAnsi"/>
          <w:sz w:val="20"/>
          <w:szCs w:val="20"/>
        </w:rPr>
        <w:t xml:space="preserve">Pożyczki </w:t>
      </w:r>
      <w:r w:rsidR="005F7B39" w:rsidRPr="007A2FA0">
        <w:rPr>
          <w:rFonts w:cstheme="minorHAnsi"/>
          <w:sz w:val="20"/>
          <w:szCs w:val="20"/>
        </w:rPr>
        <w:t xml:space="preserve">nie może być dłuższy niż </w:t>
      </w:r>
      <w:r w:rsidR="00726A24" w:rsidRPr="007A2FA0">
        <w:rPr>
          <w:rFonts w:cstheme="minorHAnsi"/>
          <w:sz w:val="20"/>
          <w:szCs w:val="20"/>
        </w:rPr>
        <w:t>72 miesiące</w:t>
      </w:r>
      <w:r w:rsidR="00AE7DAF" w:rsidRPr="007A2FA0">
        <w:rPr>
          <w:rFonts w:cstheme="minorHAnsi"/>
          <w:sz w:val="20"/>
          <w:szCs w:val="20"/>
        </w:rPr>
        <w:t>, od momentu jej uruchomienia</w:t>
      </w:r>
      <w:r w:rsidR="00854DE4" w:rsidRPr="007A2FA0">
        <w:rPr>
          <w:rFonts w:cstheme="minorHAnsi"/>
          <w:sz w:val="20"/>
          <w:szCs w:val="20"/>
        </w:rPr>
        <w:t xml:space="preserve">, tj. wypłaty jakiejkolwiek kwoty </w:t>
      </w:r>
      <w:r w:rsidR="00A21B2D" w:rsidRPr="007A2FA0">
        <w:rPr>
          <w:rFonts w:cstheme="minorHAnsi"/>
          <w:sz w:val="20"/>
          <w:szCs w:val="20"/>
        </w:rPr>
        <w:t>Pożyczki</w:t>
      </w:r>
      <w:r w:rsidRPr="007A2FA0">
        <w:rPr>
          <w:rFonts w:cstheme="minorHAnsi"/>
          <w:sz w:val="20"/>
          <w:szCs w:val="20"/>
        </w:rPr>
        <w:t>.</w:t>
      </w:r>
    </w:p>
    <w:p w14:paraId="07951D9C" w14:textId="1FB222FF" w:rsidR="009C2EC4" w:rsidRPr="007A2FA0" w:rsidRDefault="009C2EC4" w:rsidP="006B26B1">
      <w:pPr>
        <w:pStyle w:val="Akapitzlist"/>
        <w:numPr>
          <w:ilvl w:val="0"/>
          <w:numId w:val="11"/>
        </w:numPr>
        <w:spacing w:after="120"/>
        <w:ind w:left="426" w:hanging="426"/>
        <w:contextualSpacing w:val="0"/>
        <w:jc w:val="both"/>
        <w:rPr>
          <w:rFonts w:cstheme="minorHAnsi"/>
          <w:sz w:val="20"/>
          <w:szCs w:val="20"/>
        </w:rPr>
      </w:pPr>
      <w:r w:rsidRPr="007A2FA0">
        <w:rPr>
          <w:rFonts w:cstheme="minorHAnsi"/>
          <w:sz w:val="20"/>
          <w:szCs w:val="20"/>
        </w:rPr>
        <w:t xml:space="preserve">Maksymalna karencja w spłacie Pożyczki wynosi 6 miesięcy od dnia jej uruchomienia, przy czym karencja wydłuża okres spłaty Pożyczki, z zastrzeżeniem pkt </w:t>
      </w:r>
      <w:r w:rsidR="00E2621E" w:rsidRPr="007A2FA0">
        <w:rPr>
          <w:rFonts w:cstheme="minorHAnsi"/>
          <w:sz w:val="20"/>
          <w:szCs w:val="20"/>
        </w:rPr>
        <w:t>5</w:t>
      </w:r>
      <w:r w:rsidRPr="007A2FA0">
        <w:rPr>
          <w:rFonts w:cstheme="minorHAnsi"/>
          <w:sz w:val="20"/>
          <w:szCs w:val="20"/>
        </w:rPr>
        <w:t>.</w:t>
      </w:r>
    </w:p>
    <w:p w14:paraId="64A94FF4" w14:textId="7AD9C3E1" w:rsidR="009C2EC4" w:rsidRPr="007A2FA0" w:rsidRDefault="00C01685" w:rsidP="00C01685">
      <w:pPr>
        <w:pStyle w:val="Akapitzlist"/>
        <w:numPr>
          <w:ilvl w:val="0"/>
          <w:numId w:val="11"/>
        </w:numPr>
        <w:spacing w:after="120"/>
        <w:contextualSpacing w:val="0"/>
        <w:jc w:val="both"/>
        <w:rPr>
          <w:rFonts w:cstheme="minorHAnsi"/>
          <w:sz w:val="20"/>
          <w:szCs w:val="20"/>
        </w:rPr>
      </w:pPr>
      <w:r w:rsidRPr="007A2FA0">
        <w:rPr>
          <w:rFonts w:cstheme="minorHAnsi"/>
          <w:sz w:val="20"/>
          <w:szCs w:val="20"/>
        </w:rPr>
        <w:t xml:space="preserve">W pierwszych 2 latach </w:t>
      </w:r>
      <w:r w:rsidR="009C2EC4" w:rsidRPr="007A2FA0">
        <w:rPr>
          <w:rFonts w:cstheme="minorHAnsi"/>
          <w:sz w:val="20"/>
          <w:szCs w:val="20"/>
        </w:rPr>
        <w:t xml:space="preserve">spłaty Pożyczki </w:t>
      </w:r>
      <w:r w:rsidR="0056322A" w:rsidRPr="007A2FA0">
        <w:rPr>
          <w:rFonts w:cstheme="minorHAnsi"/>
          <w:sz w:val="20"/>
          <w:szCs w:val="20"/>
        </w:rPr>
        <w:t>Pożyczkodawca</w:t>
      </w:r>
      <w:r w:rsidR="009C2EC4" w:rsidRPr="007A2FA0">
        <w:rPr>
          <w:rFonts w:cstheme="minorHAnsi"/>
          <w:sz w:val="20"/>
          <w:szCs w:val="20"/>
        </w:rPr>
        <w:t xml:space="preserve"> może udzielić Pożyczkobiorcy </w:t>
      </w:r>
      <w:r w:rsidRPr="007A2FA0">
        <w:rPr>
          <w:rFonts w:cstheme="minorHAnsi"/>
          <w:sz w:val="20"/>
          <w:szCs w:val="20"/>
        </w:rPr>
        <w:t xml:space="preserve">do 4 miesięcy </w:t>
      </w:r>
      <w:r w:rsidR="009C2EC4" w:rsidRPr="007A2FA0">
        <w:rPr>
          <w:rFonts w:cstheme="minorHAnsi"/>
          <w:sz w:val="20"/>
          <w:szCs w:val="20"/>
        </w:rPr>
        <w:t xml:space="preserve">wakacji kredytowych w spłacie rat </w:t>
      </w:r>
      <w:r w:rsidR="004E30FA" w:rsidRPr="007A2FA0">
        <w:rPr>
          <w:rFonts w:cstheme="minorHAnsi"/>
          <w:sz w:val="20"/>
          <w:szCs w:val="20"/>
        </w:rPr>
        <w:t>Pożyczki</w:t>
      </w:r>
      <w:r w:rsidR="009C2EC4" w:rsidRPr="007A2FA0">
        <w:rPr>
          <w:rFonts w:cstheme="minorHAnsi"/>
          <w:sz w:val="20"/>
          <w:szCs w:val="20"/>
        </w:rPr>
        <w:t>, przy czym okres wakacji wydłuża okres spłaty Pożyczki, z zastrzeżenie</w:t>
      </w:r>
      <w:r w:rsidR="004E2313">
        <w:rPr>
          <w:rFonts w:cstheme="minorHAnsi"/>
          <w:sz w:val="20"/>
          <w:szCs w:val="20"/>
        </w:rPr>
        <w:t xml:space="preserve">m </w:t>
      </w:r>
      <w:r w:rsidR="004E2313">
        <w:rPr>
          <w:rFonts w:cstheme="minorHAnsi"/>
          <w:sz w:val="20"/>
          <w:szCs w:val="20"/>
        </w:rPr>
        <w:br/>
      </w:r>
      <w:r w:rsidR="009C2EC4" w:rsidRPr="007A2FA0">
        <w:rPr>
          <w:rFonts w:cstheme="minorHAnsi"/>
          <w:sz w:val="20"/>
          <w:szCs w:val="20"/>
        </w:rPr>
        <w:t xml:space="preserve">pkt </w:t>
      </w:r>
      <w:r w:rsidR="00E2621E" w:rsidRPr="007A2FA0">
        <w:rPr>
          <w:rFonts w:cstheme="minorHAnsi"/>
          <w:sz w:val="20"/>
          <w:szCs w:val="20"/>
        </w:rPr>
        <w:t>5</w:t>
      </w:r>
      <w:r w:rsidR="009C2EC4" w:rsidRPr="007A2FA0">
        <w:rPr>
          <w:rFonts w:cstheme="minorHAnsi"/>
          <w:sz w:val="20"/>
          <w:szCs w:val="20"/>
        </w:rPr>
        <w:t>.</w:t>
      </w:r>
    </w:p>
    <w:p w14:paraId="2E4B2D9B" w14:textId="77777777" w:rsidR="001465A3" w:rsidRPr="007A2FA0" w:rsidRDefault="001465A3" w:rsidP="006B26B1">
      <w:pPr>
        <w:pStyle w:val="Akapitzlist"/>
        <w:spacing w:after="120"/>
        <w:ind w:left="0"/>
        <w:contextualSpacing w:val="0"/>
        <w:jc w:val="both"/>
        <w:rPr>
          <w:rFonts w:cstheme="minorHAnsi"/>
          <w:b/>
          <w:sz w:val="20"/>
          <w:szCs w:val="20"/>
        </w:rPr>
      </w:pPr>
    </w:p>
    <w:p w14:paraId="15216030" w14:textId="07EC8EAE" w:rsidR="001465A3" w:rsidRPr="007A2FA0" w:rsidRDefault="00FD1A3D" w:rsidP="00C2625D">
      <w:pPr>
        <w:pStyle w:val="Akapitzlist"/>
        <w:keepNext/>
        <w:numPr>
          <w:ilvl w:val="0"/>
          <w:numId w:val="13"/>
        </w:numPr>
        <w:spacing w:after="120"/>
        <w:ind w:left="425" w:hanging="425"/>
        <w:contextualSpacing w:val="0"/>
        <w:jc w:val="both"/>
        <w:rPr>
          <w:rFonts w:cstheme="minorHAnsi"/>
          <w:b/>
          <w:sz w:val="20"/>
          <w:szCs w:val="20"/>
        </w:rPr>
      </w:pPr>
      <w:r w:rsidRPr="007A2FA0">
        <w:rPr>
          <w:rFonts w:cstheme="minorHAnsi"/>
          <w:b/>
          <w:sz w:val="20"/>
          <w:szCs w:val="20"/>
        </w:rPr>
        <w:t>Z</w:t>
      </w:r>
      <w:r w:rsidR="005F3EAE" w:rsidRPr="007A2FA0">
        <w:rPr>
          <w:rFonts w:cstheme="minorHAnsi"/>
          <w:b/>
          <w:sz w:val="20"/>
          <w:szCs w:val="20"/>
        </w:rPr>
        <w:t>asady dotyczące</w:t>
      </w:r>
      <w:r w:rsidR="001465A3" w:rsidRPr="007A2FA0">
        <w:rPr>
          <w:rFonts w:cstheme="minorHAnsi"/>
          <w:b/>
          <w:sz w:val="20"/>
          <w:szCs w:val="20"/>
        </w:rPr>
        <w:t xml:space="preserve"> udzielania</w:t>
      </w:r>
      <w:r w:rsidR="00417A9B" w:rsidRPr="007A2FA0">
        <w:rPr>
          <w:rFonts w:cstheme="minorHAnsi"/>
          <w:b/>
          <w:sz w:val="20"/>
          <w:szCs w:val="20"/>
        </w:rPr>
        <w:t xml:space="preserve"> i udokumentowania</w:t>
      </w:r>
      <w:r w:rsidR="001465A3" w:rsidRPr="007A2FA0">
        <w:rPr>
          <w:rFonts w:cstheme="minorHAnsi"/>
          <w:b/>
          <w:sz w:val="20"/>
          <w:szCs w:val="20"/>
        </w:rPr>
        <w:t xml:space="preserve"> </w:t>
      </w:r>
      <w:r w:rsidR="00A21B2D" w:rsidRPr="007A2FA0">
        <w:rPr>
          <w:rFonts w:cstheme="minorHAnsi"/>
          <w:b/>
          <w:sz w:val="20"/>
          <w:szCs w:val="20"/>
        </w:rPr>
        <w:t xml:space="preserve">Pożyczki </w:t>
      </w:r>
      <w:r w:rsidR="00AA5E0B" w:rsidRPr="007A2FA0">
        <w:rPr>
          <w:rFonts w:cstheme="minorHAnsi"/>
          <w:b/>
          <w:sz w:val="20"/>
          <w:szCs w:val="20"/>
        </w:rPr>
        <w:t>Płynnościowej POIR</w:t>
      </w:r>
    </w:p>
    <w:p w14:paraId="209729E3" w14:textId="183549A3" w:rsidR="001465A3" w:rsidRPr="007A2FA0" w:rsidRDefault="009C2EC4" w:rsidP="006B26B1">
      <w:pPr>
        <w:pStyle w:val="Akapitzlist"/>
        <w:numPr>
          <w:ilvl w:val="0"/>
          <w:numId w:val="12"/>
        </w:numPr>
        <w:spacing w:after="120"/>
        <w:ind w:left="426" w:hanging="426"/>
        <w:contextualSpacing w:val="0"/>
        <w:jc w:val="both"/>
        <w:rPr>
          <w:rFonts w:cstheme="minorHAnsi"/>
          <w:sz w:val="20"/>
          <w:szCs w:val="20"/>
        </w:rPr>
      </w:pPr>
      <w:r w:rsidRPr="007A2FA0">
        <w:rPr>
          <w:rFonts w:cstheme="minorHAnsi"/>
          <w:sz w:val="20"/>
          <w:szCs w:val="20"/>
        </w:rPr>
        <w:t xml:space="preserve">Udzielenie Pożyczki nie może być uzależnione od zawarcia przez Pożyczkobiorcę dodatkowych umów </w:t>
      </w:r>
      <w:r w:rsidR="004E2313">
        <w:rPr>
          <w:rFonts w:cstheme="minorHAnsi"/>
          <w:sz w:val="20"/>
          <w:szCs w:val="20"/>
        </w:rPr>
        <w:br/>
      </w:r>
      <w:r w:rsidRPr="007A2FA0">
        <w:rPr>
          <w:rFonts w:cstheme="minorHAnsi"/>
          <w:sz w:val="20"/>
          <w:szCs w:val="20"/>
        </w:rPr>
        <w:t xml:space="preserve">(w szczególności dotyczących zakupu dodatkowych usług, produktów finansowych lub ubezpieczeniowych) </w:t>
      </w:r>
      <w:r w:rsidR="004E2313">
        <w:rPr>
          <w:rFonts w:cstheme="minorHAnsi"/>
          <w:sz w:val="20"/>
          <w:szCs w:val="20"/>
        </w:rPr>
        <w:br/>
      </w:r>
      <w:r w:rsidRPr="007A2FA0">
        <w:rPr>
          <w:rFonts w:cstheme="minorHAnsi"/>
          <w:sz w:val="20"/>
          <w:szCs w:val="20"/>
        </w:rPr>
        <w:t xml:space="preserve">z </w:t>
      </w:r>
      <w:r w:rsidR="0056322A" w:rsidRPr="007A2FA0">
        <w:rPr>
          <w:rFonts w:cstheme="minorHAnsi"/>
          <w:sz w:val="20"/>
          <w:szCs w:val="20"/>
        </w:rPr>
        <w:t>Pożyczkodawcą</w:t>
      </w:r>
      <w:r w:rsidRPr="007A2FA0">
        <w:rPr>
          <w:rFonts w:cstheme="minorHAnsi"/>
          <w:sz w:val="20"/>
          <w:szCs w:val="20"/>
        </w:rPr>
        <w:t xml:space="preserve"> lub podmiotem partnerskim lub powiązanym w stosunku do </w:t>
      </w:r>
      <w:r w:rsidR="0056322A" w:rsidRPr="007A2FA0">
        <w:rPr>
          <w:rFonts w:cstheme="minorHAnsi"/>
          <w:sz w:val="20"/>
          <w:szCs w:val="20"/>
        </w:rPr>
        <w:t>Pożyczkodawcy</w:t>
      </w:r>
      <w:r w:rsidRPr="007A2FA0">
        <w:rPr>
          <w:rFonts w:cstheme="minorHAnsi"/>
          <w:sz w:val="20"/>
          <w:szCs w:val="20"/>
        </w:rPr>
        <w:t xml:space="preserve">; powyższe nie dotyczy powszechnie występujących na rynku oraz standardowo stosowanych przez Pośrednika Finansowego zabezpieczeń ustanawianych przez Pożyczkobiorcę na rzecz </w:t>
      </w:r>
      <w:r w:rsidR="0056322A" w:rsidRPr="007A2FA0">
        <w:rPr>
          <w:rFonts w:cstheme="minorHAnsi"/>
          <w:sz w:val="20"/>
          <w:szCs w:val="20"/>
        </w:rPr>
        <w:t>Pożyczkodawcy</w:t>
      </w:r>
      <w:r w:rsidRPr="007A2FA0">
        <w:rPr>
          <w:rFonts w:cstheme="minorHAnsi"/>
          <w:sz w:val="20"/>
          <w:szCs w:val="20"/>
        </w:rPr>
        <w:t xml:space="preserve"> w związku z zawieraną umową Pożyczki, z zastrzeżeniem, iż w przypadku zabezpieczenia takiego jak „cesja praw z polisy ubezpieczeniowej” </w:t>
      </w:r>
      <w:r w:rsidR="00AA5E0B" w:rsidRPr="007A2FA0">
        <w:rPr>
          <w:rFonts w:cstheme="minorHAnsi"/>
          <w:sz w:val="20"/>
          <w:szCs w:val="20"/>
        </w:rPr>
        <w:t xml:space="preserve">Pożyczkobiorca </w:t>
      </w:r>
      <w:r w:rsidRPr="007A2FA0">
        <w:rPr>
          <w:rFonts w:cstheme="minorHAnsi"/>
          <w:sz w:val="20"/>
          <w:szCs w:val="20"/>
        </w:rPr>
        <w:t>ma możliwość wyboru oferty spośród ubezpieczycieli dostępnych na rynku.</w:t>
      </w:r>
    </w:p>
    <w:p w14:paraId="2B4CDC33" w14:textId="529A0E32" w:rsidR="009C2EC4" w:rsidRPr="007A2FA0" w:rsidRDefault="009C2EC4" w:rsidP="006B26B1">
      <w:pPr>
        <w:pStyle w:val="Akapitzlist"/>
        <w:numPr>
          <w:ilvl w:val="0"/>
          <w:numId w:val="12"/>
        </w:numPr>
        <w:spacing w:after="120"/>
        <w:ind w:left="426" w:hanging="426"/>
        <w:contextualSpacing w:val="0"/>
        <w:jc w:val="both"/>
        <w:rPr>
          <w:rFonts w:cstheme="minorHAnsi"/>
          <w:sz w:val="20"/>
          <w:szCs w:val="20"/>
        </w:rPr>
      </w:pPr>
      <w:r w:rsidRPr="007A2FA0">
        <w:rPr>
          <w:rFonts w:cstheme="minorHAnsi"/>
          <w:sz w:val="20"/>
          <w:szCs w:val="20"/>
        </w:rPr>
        <w:t>Wydatkowanie środków Pożyczki musi nastąpić w terminie do 180 dni od dnia wypłaty całkowitej kwoty Pożyczki, przy czym termin 180 dni określa datę do której mogą być wystawiane dokumenty potwierdzające wydatkowanie środków. W uzasadnionych przypadkach, na wniosek Pożyczkobiorcy</w:t>
      </w:r>
      <w:r w:rsidR="00AE7B53" w:rsidRPr="007A2FA0">
        <w:rPr>
          <w:rFonts w:cstheme="minorHAnsi"/>
          <w:sz w:val="20"/>
          <w:szCs w:val="20"/>
        </w:rPr>
        <w:t xml:space="preserve"> złożony po wypłacie całkowitej kwoty Jednostkowej Pożyczki</w:t>
      </w:r>
      <w:r w:rsidRPr="007A2FA0">
        <w:rPr>
          <w:rFonts w:cstheme="minorHAnsi"/>
          <w:sz w:val="20"/>
          <w:szCs w:val="20"/>
        </w:rPr>
        <w:t xml:space="preserve">, </w:t>
      </w:r>
      <w:r w:rsidR="0056322A" w:rsidRPr="007A2FA0">
        <w:rPr>
          <w:rFonts w:cstheme="minorHAnsi"/>
          <w:sz w:val="20"/>
          <w:szCs w:val="20"/>
        </w:rPr>
        <w:t>Pożyczkodawca</w:t>
      </w:r>
      <w:r w:rsidRPr="007A2FA0">
        <w:rPr>
          <w:rFonts w:cstheme="minorHAnsi"/>
          <w:sz w:val="20"/>
          <w:szCs w:val="20"/>
        </w:rPr>
        <w:t xml:space="preserve"> może zaakceptować wydłużenie tego terminu maksymalnie o kolejne </w:t>
      </w:r>
      <w:r w:rsidR="00AE7B53" w:rsidRPr="007A2FA0">
        <w:rPr>
          <w:rFonts w:cstheme="minorHAnsi"/>
          <w:sz w:val="20"/>
          <w:szCs w:val="20"/>
        </w:rPr>
        <w:t>90</w:t>
      </w:r>
      <w:r w:rsidRPr="007A2FA0">
        <w:rPr>
          <w:rFonts w:cstheme="minorHAnsi"/>
          <w:sz w:val="20"/>
          <w:szCs w:val="20"/>
        </w:rPr>
        <w:t xml:space="preserve"> dni.</w:t>
      </w:r>
    </w:p>
    <w:p w14:paraId="3C773000" w14:textId="78B7F385" w:rsidR="006E6C0F" w:rsidRPr="007A2FA0" w:rsidRDefault="00D5172C" w:rsidP="006B26B1">
      <w:pPr>
        <w:pStyle w:val="Akapitzlist"/>
        <w:numPr>
          <w:ilvl w:val="0"/>
          <w:numId w:val="12"/>
        </w:numPr>
        <w:spacing w:after="120"/>
        <w:ind w:left="426" w:hanging="426"/>
        <w:contextualSpacing w:val="0"/>
        <w:jc w:val="both"/>
        <w:rPr>
          <w:rFonts w:cstheme="minorHAnsi"/>
          <w:sz w:val="20"/>
          <w:szCs w:val="20"/>
        </w:rPr>
      </w:pPr>
      <w:r w:rsidRPr="007A2FA0">
        <w:rPr>
          <w:rFonts w:cstheme="minorHAnsi"/>
          <w:sz w:val="20"/>
          <w:szCs w:val="20"/>
        </w:rPr>
        <w:t xml:space="preserve">Pożyczkobiorca przechowuje dowody świadczące o wydatkowaniu środków pożyczki na określony cel. Mogą to być faktury, inne równoważne dokumenty w rozumieniu przepisów prawa krajowego, </w:t>
      </w:r>
      <w:r w:rsidR="000A38D0" w:rsidRPr="007A2FA0">
        <w:rPr>
          <w:rFonts w:cstheme="minorHAnsi"/>
          <w:sz w:val="20"/>
          <w:szCs w:val="20"/>
        </w:rPr>
        <w:br/>
      </w:r>
      <w:r w:rsidRPr="007A2FA0">
        <w:rPr>
          <w:rFonts w:cstheme="minorHAnsi"/>
          <w:sz w:val="20"/>
          <w:szCs w:val="20"/>
        </w:rPr>
        <w:t xml:space="preserve">z uwzględnieniem specyfiki wydatku. Mogą to być także potwierdzenia przelewu/spłaty - w przypadku płatności bieżących rat kredytu, czy rat leasingowych. Wydatki finansowane ze środków pożyczki muszą mieć status wydatków nieopłaconych na dzień </w:t>
      </w:r>
      <w:r w:rsidR="00E2355F" w:rsidRPr="007A2FA0">
        <w:rPr>
          <w:rFonts w:cstheme="minorHAnsi"/>
          <w:sz w:val="20"/>
          <w:szCs w:val="20"/>
        </w:rPr>
        <w:t>złożenia wniosku o pożyczkę</w:t>
      </w:r>
      <w:r w:rsidRPr="007A2FA0">
        <w:rPr>
          <w:rFonts w:cstheme="minorHAnsi"/>
          <w:sz w:val="20"/>
          <w:szCs w:val="20"/>
        </w:rPr>
        <w:t>, z uwzględnieniem specyfiki wydatku</w:t>
      </w:r>
      <w:r w:rsidR="005F7B39" w:rsidRPr="007A2FA0">
        <w:rPr>
          <w:rFonts w:cstheme="minorHAnsi"/>
          <w:sz w:val="20"/>
          <w:szCs w:val="20"/>
        </w:rPr>
        <w:t>.</w:t>
      </w:r>
    </w:p>
    <w:p w14:paraId="0026BE3E" w14:textId="40C75952" w:rsidR="006E6C0F" w:rsidRPr="007A2FA0" w:rsidRDefault="006E6C0F" w:rsidP="006B26B1">
      <w:pPr>
        <w:pStyle w:val="Akapitzlist"/>
        <w:numPr>
          <w:ilvl w:val="0"/>
          <w:numId w:val="12"/>
        </w:numPr>
        <w:spacing w:after="120"/>
        <w:ind w:left="426" w:hanging="426"/>
        <w:contextualSpacing w:val="0"/>
        <w:jc w:val="both"/>
        <w:rPr>
          <w:rFonts w:cstheme="minorHAnsi"/>
          <w:sz w:val="20"/>
          <w:szCs w:val="20"/>
        </w:rPr>
      </w:pPr>
      <w:r w:rsidRPr="007A2FA0">
        <w:rPr>
          <w:rFonts w:cstheme="minorHAnsi"/>
          <w:sz w:val="20"/>
          <w:szCs w:val="20"/>
        </w:rPr>
        <w:t xml:space="preserve">Wszelka dokumentacja potwierdzająca wydatkowanie środków przez </w:t>
      </w:r>
      <w:r w:rsidR="0069098E" w:rsidRPr="007A2FA0">
        <w:rPr>
          <w:rFonts w:cstheme="minorHAnsi"/>
          <w:sz w:val="20"/>
          <w:szCs w:val="20"/>
        </w:rPr>
        <w:t xml:space="preserve">Pożyczkobiorcę </w:t>
      </w:r>
      <w:r w:rsidRPr="007A2FA0">
        <w:rPr>
          <w:rFonts w:cstheme="minorHAnsi"/>
          <w:sz w:val="20"/>
          <w:szCs w:val="20"/>
        </w:rPr>
        <w:t xml:space="preserve">powinna być, co do zasady, sporządzona w języku polskim, a w przypadku dokumentów wystawianych w języku innym niż język polski, powinna zostać przetłumaczona na język polski przez </w:t>
      </w:r>
      <w:r w:rsidR="0069098E" w:rsidRPr="007A2FA0">
        <w:rPr>
          <w:rFonts w:cstheme="minorHAnsi"/>
          <w:sz w:val="20"/>
          <w:szCs w:val="20"/>
        </w:rPr>
        <w:t xml:space="preserve">Pożyczkobiorcę </w:t>
      </w:r>
      <w:r w:rsidRPr="007A2FA0">
        <w:rPr>
          <w:rFonts w:cstheme="minorHAnsi"/>
          <w:sz w:val="20"/>
          <w:szCs w:val="20"/>
        </w:rPr>
        <w:t>lub na jego zlecenie.</w:t>
      </w:r>
    </w:p>
    <w:p w14:paraId="55C4FFD3" w14:textId="77777777" w:rsidR="001465A3" w:rsidRPr="007A2FA0" w:rsidRDefault="001465A3" w:rsidP="006B26B1">
      <w:pPr>
        <w:pStyle w:val="Akapitzlist"/>
        <w:spacing w:after="120"/>
        <w:ind w:left="0"/>
        <w:contextualSpacing w:val="0"/>
        <w:jc w:val="both"/>
        <w:rPr>
          <w:rFonts w:cstheme="minorHAnsi"/>
          <w:b/>
          <w:sz w:val="20"/>
          <w:szCs w:val="20"/>
        </w:rPr>
      </w:pPr>
    </w:p>
    <w:p w14:paraId="4AF2C08B" w14:textId="6F8288A8" w:rsidR="00EC07BB" w:rsidRPr="007A2FA0" w:rsidRDefault="00EC07BB" w:rsidP="00286687">
      <w:pPr>
        <w:pStyle w:val="Akapitzlist"/>
        <w:keepNext/>
        <w:numPr>
          <w:ilvl w:val="0"/>
          <w:numId w:val="13"/>
        </w:numPr>
        <w:spacing w:after="120"/>
        <w:contextualSpacing w:val="0"/>
        <w:jc w:val="both"/>
        <w:rPr>
          <w:rFonts w:cstheme="minorHAnsi"/>
          <w:b/>
          <w:sz w:val="20"/>
          <w:szCs w:val="20"/>
        </w:rPr>
      </w:pPr>
      <w:r w:rsidRPr="007A2FA0">
        <w:rPr>
          <w:rFonts w:cstheme="minorHAnsi"/>
          <w:b/>
          <w:sz w:val="20"/>
          <w:szCs w:val="20"/>
        </w:rPr>
        <w:t xml:space="preserve">Przeznaczenie finansowania </w:t>
      </w:r>
    </w:p>
    <w:p w14:paraId="53026BD9" w14:textId="106C70B9" w:rsidR="00AA5E0B" w:rsidRPr="007A2FA0" w:rsidRDefault="00AA5E0B" w:rsidP="00E2355F">
      <w:pPr>
        <w:numPr>
          <w:ilvl w:val="0"/>
          <w:numId w:val="31"/>
        </w:numPr>
        <w:spacing w:before="40" w:after="40"/>
        <w:jc w:val="both"/>
        <w:rPr>
          <w:rFonts w:eastAsia="Times New Roman" w:cstheme="minorHAnsi"/>
          <w:iCs/>
          <w:sz w:val="20"/>
          <w:szCs w:val="20"/>
          <w:lang w:eastAsia="pl-PL"/>
        </w:rPr>
      </w:pPr>
      <w:r w:rsidRPr="007A2FA0">
        <w:rPr>
          <w:rFonts w:eastAsia="Times New Roman" w:cstheme="minorHAnsi"/>
          <w:iCs/>
          <w:sz w:val="20"/>
          <w:szCs w:val="20"/>
          <w:lang w:eastAsia="pl-PL"/>
        </w:rPr>
        <w:t xml:space="preserve">Pożyczka służy utrzymaniu bieżącej działalności </w:t>
      </w:r>
      <w:r w:rsidR="00321EFA" w:rsidRPr="007A2FA0">
        <w:rPr>
          <w:rFonts w:eastAsia="Times New Roman" w:cstheme="minorHAnsi"/>
          <w:iCs/>
          <w:sz w:val="20"/>
          <w:szCs w:val="20"/>
          <w:lang w:eastAsia="pl-PL"/>
        </w:rPr>
        <w:t xml:space="preserve">Pożyczkobiorcy </w:t>
      </w:r>
      <w:r w:rsidRPr="007A2FA0">
        <w:rPr>
          <w:rFonts w:eastAsia="Times New Roman" w:cstheme="minorHAnsi"/>
          <w:iCs/>
          <w:sz w:val="20"/>
          <w:szCs w:val="20"/>
          <w:lang w:eastAsia="pl-PL"/>
        </w:rPr>
        <w:t>i zapewnieniu je</w:t>
      </w:r>
      <w:r w:rsidR="00321EFA" w:rsidRPr="007A2FA0">
        <w:rPr>
          <w:rFonts w:eastAsia="Times New Roman" w:cstheme="minorHAnsi"/>
          <w:iCs/>
          <w:sz w:val="20"/>
          <w:szCs w:val="20"/>
          <w:lang w:eastAsia="pl-PL"/>
        </w:rPr>
        <w:t>go</w:t>
      </w:r>
      <w:r w:rsidRPr="007A2FA0">
        <w:rPr>
          <w:rFonts w:eastAsia="Times New Roman" w:cstheme="minorHAnsi"/>
          <w:iCs/>
          <w:sz w:val="20"/>
          <w:szCs w:val="20"/>
          <w:lang w:eastAsia="pl-PL"/>
        </w:rPr>
        <w:t xml:space="preserve"> płynności finansowej</w:t>
      </w:r>
      <w:r w:rsidR="00E2355F" w:rsidRPr="007A2FA0">
        <w:rPr>
          <w:rFonts w:eastAsia="Times New Roman" w:cstheme="minorHAnsi"/>
          <w:iCs/>
          <w:sz w:val="20"/>
          <w:szCs w:val="20"/>
          <w:lang w:eastAsia="pl-PL"/>
        </w:rPr>
        <w:t>, w tym związane z odbudową działalności po okresie epidemii COVID-19</w:t>
      </w:r>
      <w:r w:rsidRPr="007A2FA0">
        <w:rPr>
          <w:rFonts w:eastAsia="Times New Roman" w:cstheme="minorHAnsi"/>
          <w:iCs/>
          <w:sz w:val="20"/>
          <w:szCs w:val="20"/>
          <w:lang w:eastAsia="pl-PL"/>
        </w:rPr>
        <w:t>.</w:t>
      </w:r>
    </w:p>
    <w:p w14:paraId="1EF05068" w14:textId="44063392" w:rsidR="00AA5E0B" w:rsidRPr="007A2FA0" w:rsidRDefault="00AA5E0B" w:rsidP="00AA5E0B">
      <w:pPr>
        <w:numPr>
          <w:ilvl w:val="0"/>
          <w:numId w:val="31"/>
        </w:numPr>
        <w:autoSpaceDN w:val="0"/>
        <w:spacing w:before="40" w:after="40"/>
        <w:ind w:left="426"/>
        <w:jc w:val="both"/>
        <w:rPr>
          <w:rFonts w:cstheme="minorHAnsi"/>
          <w:iCs/>
          <w:sz w:val="20"/>
          <w:szCs w:val="20"/>
          <w:lang w:eastAsia="pl-PL"/>
        </w:rPr>
      </w:pPr>
      <w:r w:rsidRPr="007A2FA0">
        <w:rPr>
          <w:rFonts w:cstheme="minorHAnsi"/>
          <w:iCs/>
          <w:sz w:val="20"/>
          <w:szCs w:val="20"/>
          <w:lang w:eastAsia="pl-PL"/>
        </w:rPr>
        <w:t xml:space="preserve">Środki z Pożyczki mogą zostać przeznaczone na </w:t>
      </w:r>
      <w:r w:rsidR="00ED26AE" w:rsidRPr="007A2FA0">
        <w:rPr>
          <w:rFonts w:eastAsia="Times New Roman" w:cstheme="minorHAnsi"/>
          <w:iCs/>
          <w:sz w:val="20"/>
          <w:szCs w:val="20"/>
          <w:lang w:eastAsia="pl-PL"/>
        </w:rPr>
        <w:t xml:space="preserve">nieopłacone na dzień </w:t>
      </w:r>
      <w:r w:rsidR="00E2355F" w:rsidRPr="007A2FA0">
        <w:rPr>
          <w:rFonts w:eastAsia="Times New Roman" w:cstheme="minorHAnsi"/>
          <w:iCs/>
          <w:sz w:val="20"/>
          <w:szCs w:val="20"/>
          <w:lang w:eastAsia="pl-PL"/>
        </w:rPr>
        <w:t>złożenia wniosku o pożyczkę</w:t>
      </w:r>
      <w:r w:rsidR="00ED26AE" w:rsidRPr="007A2FA0">
        <w:rPr>
          <w:rFonts w:eastAsia="Times New Roman" w:cstheme="minorHAnsi"/>
          <w:iCs/>
          <w:sz w:val="20"/>
          <w:szCs w:val="20"/>
          <w:lang w:eastAsia="pl-PL"/>
        </w:rPr>
        <w:t xml:space="preserve"> </w:t>
      </w:r>
      <w:r w:rsidRPr="007A2FA0">
        <w:rPr>
          <w:rFonts w:cstheme="minorHAnsi"/>
          <w:iCs/>
          <w:sz w:val="20"/>
          <w:szCs w:val="20"/>
          <w:lang w:eastAsia="pl-PL"/>
        </w:rPr>
        <w:t xml:space="preserve">wydatki bieżące, obrotowe lub </w:t>
      </w:r>
      <w:r w:rsidR="00ED26AE" w:rsidRPr="007A2FA0">
        <w:rPr>
          <w:rFonts w:cstheme="minorHAnsi"/>
          <w:iCs/>
          <w:sz w:val="20"/>
          <w:szCs w:val="20"/>
          <w:lang w:eastAsia="pl-PL"/>
        </w:rPr>
        <w:t xml:space="preserve">częściowo, z zastrzeżeniem pkt V.2, </w:t>
      </w:r>
      <w:r w:rsidRPr="007A2FA0">
        <w:rPr>
          <w:rFonts w:cstheme="minorHAnsi"/>
          <w:iCs/>
          <w:sz w:val="20"/>
          <w:szCs w:val="20"/>
          <w:lang w:eastAsia="pl-PL"/>
        </w:rPr>
        <w:t>inwestycyjne, w tym np.:</w:t>
      </w:r>
    </w:p>
    <w:p w14:paraId="044960D4" w14:textId="77777777" w:rsidR="00AA5E0B" w:rsidRPr="007A2FA0" w:rsidRDefault="00AA5E0B" w:rsidP="00AA5E0B">
      <w:pPr>
        <w:numPr>
          <w:ilvl w:val="0"/>
          <w:numId w:val="36"/>
        </w:numPr>
        <w:autoSpaceDN w:val="0"/>
        <w:spacing w:before="40" w:after="40"/>
        <w:ind w:left="993"/>
        <w:jc w:val="both"/>
        <w:rPr>
          <w:rFonts w:eastAsia="Times New Roman" w:cstheme="minorHAnsi"/>
          <w:iCs/>
          <w:sz w:val="20"/>
          <w:szCs w:val="20"/>
          <w:lang w:eastAsia="pl-PL"/>
        </w:rPr>
      </w:pPr>
      <w:r w:rsidRPr="007A2FA0">
        <w:rPr>
          <w:rFonts w:eastAsia="Times New Roman" w:cstheme="minorHAnsi"/>
          <w:iCs/>
          <w:sz w:val="20"/>
          <w:szCs w:val="20"/>
          <w:lang w:eastAsia="pl-PL"/>
        </w:rPr>
        <w:t>wynagrodzenia pracowników (w tym także składowe należne ZUS, US) oraz koszty personelu pracującego na terenie firmy, ale formalnie na liście płac podwykonawców,</w:t>
      </w:r>
      <w:r w:rsidRPr="007A2FA0" w:rsidDel="006201D5">
        <w:rPr>
          <w:rFonts w:eastAsia="Times New Roman" w:cstheme="minorHAnsi"/>
          <w:iCs/>
          <w:sz w:val="20"/>
          <w:szCs w:val="20"/>
          <w:lang w:eastAsia="pl-PL"/>
        </w:rPr>
        <w:t xml:space="preserve"> </w:t>
      </w:r>
    </w:p>
    <w:p w14:paraId="0E145D97" w14:textId="3EDA020F" w:rsidR="00AA5E0B" w:rsidRPr="007A2FA0" w:rsidRDefault="00AA5E0B" w:rsidP="00AA5E0B">
      <w:pPr>
        <w:numPr>
          <w:ilvl w:val="0"/>
          <w:numId w:val="36"/>
        </w:numPr>
        <w:autoSpaceDN w:val="0"/>
        <w:spacing w:before="40" w:after="40"/>
        <w:ind w:left="993"/>
        <w:jc w:val="both"/>
        <w:rPr>
          <w:rFonts w:eastAsia="Times New Roman" w:cstheme="minorHAnsi"/>
          <w:iCs/>
          <w:sz w:val="20"/>
          <w:szCs w:val="20"/>
          <w:lang w:eastAsia="pl-PL"/>
        </w:rPr>
      </w:pPr>
      <w:r w:rsidRPr="007A2FA0">
        <w:rPr>
          <w:rFonts w:eastAsia="Times New Roman" w:cstheme="minorHAnsi"/>
          <w:iCs/>
          <w:sz w:val="20"/>
          <w:szCs w:val="20"/>
          <w:lang w:eastAsia="pl-PL"/>
        </w:rPr>
        <w:t xml:space="preserve">zobowiązania publiczno-prawne Pożyczkobiorcy,  </w:t>
      </w:r>
    </w:p>
    <w:p w14:paraId="3E5722A7" w14:textId="77777777" w:rsidR="00AA5E0B" w:rsidRPr="007A2FA0" w:rsidRDefault="00AA5E0B" w:rsidP="00AA5E0B">
      <w:pPr>
        <w:numPr>
          <w:ilvl w:val="0"/>
          <w:numId w:val="36"/>
        </w:numPr>
        <w:autoSpaceDN w:val="0"/>
        <w:spacing w:before="40" w:after="40"/>
        <w:ind w:left="993"/>
        <w:jc w:val="both"/>
        <w:rPr>
          <w:rFonts w:eastAsia="Times New Roman" w:cstheme="minorHAnsi"/>
          <w:iCs/>
          <w:sz w:val="20"/>
          <w:szCs w:val="20"/>
          <w:lang w:eastAsia="pl-PL"/>
        </w:rPr>
      </w:pPr>
      <w:r w:rsidRPr="007A2FA0">
        <w:rPr>
          <w:rFonts w:eastAsia="Times New Roman" w:cstheme="minorHAnsi"/>
          <w:iCs/>
          <w:sz w:val="20"/>
          <w:szCs w:val="20"/>
          <w:lang w:eastAsia="pl-PL"/>
        </w:rPr>
        <w:t>spłatę zobowiązań handlowych, pokrycie kosztów użytkowania infrastruktury itp.,</w:t>
      </w:r>
    </w:p>
    <w:p w14:paraId="2FD92E5F" w14:textId="77777777" w:rsidR="00AA5E0B" w:rsidRPr="007A2FA0" w:rsidRDefault="00AA5E0B" w:rsidP="00AA5E0B">
      <w:pPr>
        <w:numPr>
          <w:ilvl w:val="0"/>
          <w:numId w:val="36"/>
        </w:numPr>
        <w:autoSpaceDN w:val="0"/>
        <w:spacing w:before="40" w:after="40"/>
        <w:ind w:left="993"/>
        <w:jc w:val="both"/>
        <w:rPr>
          <w:rFonts w:eastAsia="Times New Roman" w:cstheme="minorHAnsi"/>
          <w:iCs/>
          <w:sz w:val="20"/>
          <w:szCs w:val="20"/>
          <w:lang w:eastAsia="pl-PL"/>
        </w:rPr>
      </w:pPr>
      <w:proofErr w:type="spellStart"/>
      <w:r w:rsidRPr="007A2FA0">
        <w:rPr>
          <w:rFonts w:eastAsia="Times New Roman" w:cstheme="minorHAnsi"/>
          <w:iCs/>
          <w:sz w:val="20"/>
          <w:szCs w:val="20"/>
          <w:lang w:eastAsia="pl-PL"/>
        </w:rPr>
        <w:t>zatowarowanie</w:t>
      </w:r>
      <w:proofErr w:type="spellEnd"/>
      <w:r w:rsidRPr="007A2FA0">
        <w:rPr>
          <w:rFonts w:eastAsia="Times New Roman" w:cstheme="minorHAnsi"/>
          <w:iCs/>
          <w:sz w:val="20"/>
          <w:szCs w:val="20"/>
          <w:lang w:eastAsia="pl-PL"/>
        </w:rPr>
        <w:t>, półprodukty itp.,</w:t>
      </w:r>
    </w:p>
    <w:p w14:paraId="18D749F8" w14:textId="77777777" w:rsidR="00ED26AE" w:rsidRPr="007A2FA0" w:rsidRDefault="00ED26AE" w:rsidP="00AA5E0B">
      <w:pPr>
        <w:numPr>
          <w:ilvl w:val="0"/>
          <w:numId w:val="36"/>
        </w:numPr>
        <w:autoSpaceDN w:val="0"/>
        <w:spacing w:before="40" w:after="40"/>
        <w:ind w:left="993"/>
        <w:jc w:val="both"/>
        <w:rPr>
          <w:rFonts w:eastAsia="Times New Roman" w:cstheme="minorHAnsi"/>
          <w:iCs/>
          <w:sz w:val="20"/>
          <w:szCs w:val="20"/>
          <w:lang w:eastAsia="pl-PL"/>
        </w:rPr>
      </w:pPr>
      <w:r w:rsidRPr="007A2FA0">
        <w:rPr>
          <w:rFonts w:eastAsia="Times New Roman" w:cstheme="minorHAnsi"/>
          <w:iCs/>
          <w:sz w:val="20"/>
          <w:szCs w:val="20"/>
          <w:lang w:eastAsia="pl-PL"/>
        </w:rPr>
        <w:t xml:space="preserve">inne </w:t>
      </w:r>
      <w:r w:rsidR="00AA5E0B" w:rsidRPr="007A2FA0">
        <w:rPr>
          <w:rFonts w:eastAsia="Times New Roman" w:cstheme="minorHAnsi"/>
          <w:iCs/>
          <w:sz w:val="20"/>
          <w:szCs w:val="20"/>
          <w:lang w:eastAsia="pl-PL"/>
        </w:rPr>
        <w:t>wydatki niezbędne do zapewnienia ciągłości działania Pożyczkobiorcy</w:t>
      </w:r>
      <w:r w:rsidRPr="007A2FA0">
        <w:rPr>
          <w:rFonts w:eastAsia="Times New Roman" w:cstheme="minorHAnsi"/>
          <w:iCs/>
          <w:sz w:val="20"/>
          <w:szCs w:val="20"/>
          <w:lang w:eastAsia="pl-PL"/>
        </w:rPr>
        <w:t>,</w:t>
      </w:r>
    </w:p>
    <w:p w14:paraId="39D4B3DA" w14:textId="59B023B4" w:rsidR="00AA5E0B" w:rsidRPr="007A2FA0" w:rsidRDefault="00ED26AE" w:rsidP="00AA5E0B">
      <w:pPr>
        <w:numPr>
          <w:ilvl w:val="0"/>
          <w:numId w:val="36"/>
        </w:numPr>
        <w:autoSpaceDN w:val="0"/>
        <w:spacing w:before="40" w:after="40"/>
        <w:ind w:left="993"/>
        <w:jc w:val="both"/>
        <w:rPr>
          <w:rFonts w:eastAsia="Times New Roman" w:cstheme="minorHAnsi"/>
          <w:iCs/>
          <w:sz w:val="20"/>
          <w:szCs w:val="20"/>
          <w:lang w:eastAsia="pl-PL"/>
        </w:rPr>
      </w:pPr>
      <w:r w:rsidRPr="007A2FA0">
        <w:rPr>
          <w:rFonts w:eastAsia="Times New Roman" w:cstheme="minorHAnsi"/>
          <w:iCs/>
          <w:sz w:val="20"/>
          <w:szCs w:val="20"/>
          <w:lang w:eastAsia="pl-PL"/>
        </w:rPr>
        <w:t>bieżące raty</w:t>
      </w:r>
      <w:r w:rsidRPr="007A2FA0">
        <w:rPr>
          <w:rFonts w:eastAsia="Times New Roman" w:cstheme="minorHAnsi"/>
          <w:iCs/>
          <w:sz w:val="20"/>
          <w:szCs w:val="20"/>
          <w:vertAlign w:val="superscript"/>
          <w:lang w:eastAsia="pl-PL"/>
        </w:rPr>
        <w:footnoteReference w:id="3"/>
      </w:r>
      <w:r w:rsidRPr="007A2FA0">
        <w:rPr>
          <w:rFonts w:eastAsia="Times New Roman" w:cstheme="minorHAnsi"/>
          <w:iCs/>
          <w:sz w:val="20"/>
          <w:szCs w:val="20"/>
          <w:lang w:eastAsia="pl-PL"/>
        </w:rPr>
        <w:t xml:space="preserve"> kredytów, pożyczek lub leasingu, pod warunkiem że udzielony kredyt, pożyczka czy leasing nie pochodzi ze środków EFSI, z innych funduszy, programów, środków i instrumentów Unii Europejskiej lub innych źródeł pomocy krajowej lub zagranicznej.</w:t>
      </w:r>
      <w:r w:rsidR="00AA5E0B" w:rsidRPr="007A2FA0">
        <w:rPr>
          <w:rFonts w:eastAsia="Times New Roman" w:cstheme="minorHAnsi"/>
          <w:iCs/>
          <w:sz w:val="20"/>
          <w:szCs w:val="20"/>
          <w:lang w:eastAsia="pl-PL"/>
        </w:rPr>
        <w:t xml:space="preserve"> </w:t>
      </w:r>
    </w:p>
    <w:p w14:paraId="35FC2F4B" w14:textId="37C5BDD1" w:rsidR="00AA5E0B" w:rsidRPr="007A2FA0" w:rsidRDefault="00AA5E0B" w:rsidP="00AA5E0B">
      <w:pPr>
        <w:numPr>
          <w:ilvl w:val="0"/>
          <w:numId w:val="31"/>
        </w:numPr>
        <w:spacing w:before="40" w:after="40"/>
        <w:ind w:left="426"/>
        <w:jc w:val="both"/>
        <w:rPr>
          <w:rFonts w:cstheme="minorHAnsi"/>
          <w:iCs/>
          <w:sz w:val="20"/>
          <w:szCs w:val="20"/>
          <w:lang w:eastAsia="pl-PL"/>
        </w:rPr>
      </w:pPr>
      <w:r w:rsidRPr="007A2FA0">
        <w:rPr>
          <w:rFonts w:cstheme="minorHAnsi"/>
          <w:iCs/>
          <w:sz w:val="20"/>
          <w:szCs w:val="20"/>
          <w:lang w:eastAsia="pl-PL"/>
        </w:rPr>
        <w:t xml:space="preserve">Z Pożyczki finansowane są wydatki w kwotach brutto tj. z podatkiem VAT, bez względu na to czy </w:t>
      </w:r>
      <w:r w:rsidR="00321EFA" w:rsidRPr="007A2FA0">
        <w:rPr>
          <w:rFonts w:cstheme="minorHAnsi"/>
          <w:iCs/>
          <w:sz w:val="20"/>
          <w:szCs w:val="20"/>
          <w:lang w:eastAsia="pl-PL"/>
        </w:rPr>
        <w:t xml:space="preserve">Pożyczkobiorca </w:t>
      </w:r>
      <w:r w:rsidRPr="007A2FA0">
        <w:rPr>
          <w:rFonts w:cstheme="minorHAnsi"/>
          <w:iCs/>
          <w:sz w:val="20"/>
          <w:szCs w:val="20"/>
          <w:lang w:eastAsia="pl-PL"/>
        </w:rPr>
        <w:t>ma prawną możliwość odzyskania naliczonego podatku VAT.</w:t>
      </w:r>
    </w:p>
    <w:p w14:paraId="0B2DAA40" w14:textId="13D3EB51" w:rsidR="00AA5E0B" w:rsidRPr="007A2FA0" w:rsidRDefault="00AA5E0B" w:rsidP="00AE7B53">
      <w:pPr>
        <w:keepNext/>
        <w:numPr>
          <w:ilvl w:val="0"/>
          <w:numId w:val="31"/>
        </w:numPr>
        <w:spacing w:before="120" w:after="120"/>
        <w:ind w:left="426" w:hanging="357"/>
        <w:jc w:val="both"/>
        <w:rPr>
          <w:rFonts w:eastAsia="Times New Roman" w:cstheme="minorHAnsi"/>
          <w:iCs/>
          <w:sz w:val="20"/>
          <w:szCs w:val="20"/>
          <w:lang w:eastAsia="pl-PL"/>
        </w:rPr>
      </w:pPr>
      <w:r w:rsidRPr="007A2FA0">
        <w:rPr>
          <w:rFonts w:cstheme="minorHAnsi"/>
          <w:sz w:val="20"/>
          <w:szCs w:val="20"/>
        </w:rPr>
        <w:lastRenderedPageBreak/>
        <w:t>Finansowanie z Pożyczki można łączyć w ramach tego samego wydatku z innym finansowaniem, w tym finansowaniem z E</w:t>
      </w:r>
      <w:r w:rsidR="00321EFA" w:rsidRPr="007A2FA0">
        <w:rPr>
          <w:rFonts w:cstheme="minorHAnsi"/>
          <w:sz w:val="20"/>
          <w:szCs w:val="20"/>
        </w:rPr>
        <w:t xml:space="preserve">uropejskich </w:t>
      </w:r>
      <w:r w:rsidRPr="007A2FA0">
        <w:rPr>
          <w:rFonts w:cstheme="minorHAnsi"/>
          <w:sz w:val="20"/>
          <w:szCs w:val="20"/>
        </w:rPr>
        <w:t>F</w:t>
      </w:r>
      <w:r w:rsidR="00321EFA" w:rsidRPr="007A2FA0">
        <w:rPr>
          <w:rFonts w:cstheme="minorHAnsi"/>
          <w:sz w:val="20"/>
          <w:szCs w:val="20"/>
        </w:rPr>
        <w:t xml:space="preserve">unduszy </w:t>
      </w:r>
      <w:r w:rsidRPr="007A2FA0">
        <w:rPr>
          <w:rFonts w:cstheme="minorHAnsi"/>
          <w:sz w:val="20"/>
          <w:szCs w:val="20"/>
        </w:rPr>
        <w:t>S</w:t>
      </w:r>
      <w:r w:rsidR="00321EFA" w:rsidRPr="007A2FA0">
        <w:rPr>
          <w:rFonts w:cstheme="minorHAnsi"/>
          <w:sz w:val="20"/>
          <w:szCs w:val="20"/>
        </w:rPr>
        <w:t xml:space="preserve">trukturalnych i </w:t>
      </w:r>
      <w:r w:rsidRPr="007A2FA0">
        <w:rPr>
          <w:rFonts w:cstheme="minorHAnsi"/>
          <w:sz w:val="20"/>
          <w:szCs w:val="20"/>
        </w:rPr>
        <w:t>I</w:t>
      </w:r>
      <w:r w:rsidR="00321EFA" w:rsidRPr="007A2FA0">
        <w:rPr>
          <w:rFonts w:cstheme="minorHAnsi"/>
          <w:sz w:val="20"/>
          <w:szCs w:val="20"/>
        </w:rPr>
        <w:t>nwestycyjnych (EFSI)</w:t>
      </w:r>
      <w:r w:rsidRPr="007A2FA0">
        <w:rPr>
          <w:rFonts w:cstheme="minorHAnsi"/>
          <w:sz w:val="20"/>
          <w:szCs w:val="20"/>
        </w:rPr>
        <w:t xml:space="preserve"> w formie dotacji lub instrumentów finansowych pod warunkiem, że finansowanie w ramach wszystkich połączonych form wsparcia nie przekracza całkowitej kwoty tego wydatku oraz spełnione są wszystkie mające zastosowanie zasady dotyczące pomocy państwa.</w:t>
      </w:r>
    </w:p>
    <w:p w14:paraId="1DE8D720" w14:textId="77777777" w:rsidR="000F0392" w:rsidRPr="007A2FA0" w:rsidRDefault="000F0392" w:rsidP="00E9225B">
      <w:pPr>
        <w:spacing w:after="0"/>
        <w:jc w:val="both"/>
        <w:rPr>
          <w:rFonts w:cstheme="minorHAnsi"/>
          <w:sz w:val="20"/>
          <w:szCs w:val="20"/>
        </w:rPr>
      </w:pPr>
    </w:p>
    <w:p w14:paraId="21C965B1" w14:textId="7F76EEA4" w:rsidR="00614CDD" w:rsidRPr="007A2FA0" w:rsidRDefault="00614CDD" w:rsidP="00C2625D">
      <w:pPr>
        <w:pStyle w:val="Akapitzlist"/>
        <w:keepNext/>
        <w:numPr>
          <w:ilvl w:val="0"/>
          <w:numId w:val="13"/>
        </w:numPr>
        <w:spacing w:after="120"/>
        <w:ind w:left="425" w:hanging="425"/>
        <w:contextualSpacing w:val="0"/>
        <w:jc w:val="both"/>
        <w:rPr>
          <w:rFonts w:cstheme="minorHAnsi"/>
          <w:b/>
          <w:sz w:val="20"/>
          <w:szCs w:val="20"/>
        </w:rPr>
      </w:pPr>
      <w:r w:rsidRPr="007A2FA0">
        <w:rPr>
          <w:rFonts w:cstheme="minorHAnsi"/>
          <w:b/>
          <w:sz w:val="20"/>
          <w:szCs w:val="20"/>
        </w:rPr>
        <w:t>Wykluczenia z finansowania</w:t>
      </w:r>
    </w:p>
    <w:p w14:paraId="464EFFD5" w14:textId="19354AA8" w:rsidR="00614CDD" w:rsidRPr="007A2FA0" w:rsidRDefault="00112915" w:rsidP="00AE7B53">
      <w:pPr>
        <w:pStyle w:val="Akapitzlist"/>
        <w:numPr>
          <w:ilvl w:val="0"/>
          <w:numId w:val="29"/>
        </w:numPr>
        <w:spacing w:after="120" w:line="240" w:lineRule="auto"/>
        <w:ind w:left="426" w:hanging="426"/>
        <w:contextualSpacing w:val="0"/>
        <w:jc w:val="both"/>
        <w:rPr>
          <w:rFonts w:cstheme="minorHAnsi"/>
          <w:sz w:val="20"/>
          <w:szCs w:val="20"/>
        </w:rPr>
      </w:pPr>
      <w:r w:rsidRPr="007A2FA0">
        <w:rPr>
          <w:rFonts w:cstheme="minorHAnsi"/>
          <w:sz w:val="20"/>
          <w:szCs w:val="20"/>
        </w:rPr>
        <w:t>Środki z Pożyczki nie mogą być przeznaczone na:</w:t>
      </w:r>
    </w:p>
    <w:p w14:paraId="66E23A60" w14:textId="7930B1D9"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 xml:space="preserve">finansowanie wydatków pokrytych uprzednio ze środków EFSI, z innych funduszy, programów, środków </w:t>
      </w:r>
      <w:r w:rsidR="007862C0">
        <w:rPr>
          <w:rFonts w:cstheme="minorHAnsi"/>
          <w:sz w:val="20"/>
          <w:szCs w:val="20"/>
        </w:rPr>
        <w:br/>
      </w:r>
      <w:r w:rsidRPr="007A2FA0">
        <w:rPr>
          <w:rFonts w:cstheme="minorHAnsi"/>
          <w:sz w:val="20"/>
          <w:szCs w:val="20"/>
        </w:rPr>
        <w:t>i instrumentów Unii Europejskiej lub innych źródeł pomocy krajowej lub zagranicznej;</w:t>
      </w:r>
    </w:p>
    <w:p w14:paraId="0FE6505E" w14:textId="77777777"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prefinansowanie wydatków, na które otrzymano dofinansowanie w formie dotacji lub pomocy zwrotnej;</w:t>
      </w:r>
    </w:p>
    <w:p w14:paraId="11A5D14F" w14:textId="3CF5446D"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 xml:space="preserve">refinansowanie całości lub części wydatków, które </w:t>
      </w:r>
      <w:r w:rsidR="00EF4593" w:rsidRPr="007A2FA0">
        <w:rPr>
          <w:rFonts w:cstheme="minorHAnsi"/>
          <w:sz w:val="20"/>
          <w:szCs w:val="20"/>
        </w:rPr>
        <w:t xml:space="preserve">na dzień </w:t>
      </w:r>
      <w:r w:rsidR="00E2355F" w:rsidRPr="007A2FA0">
        <w:rPr>
          <w:rFonts w:cstheme="minorHAnsi"/>
          <w:sz w:val="20"/>
          <w:szCs w:val="20"/>
        </w:rPr>
        <w:t>złożenia wniosku</w:t>
      </w:r>
      <w:r w:rsidR="00EF4593" w:rsidRPr="007A2FA0">
        <w:rPr>
          <w:rFonts w:cstheme="minorHAnsi"/>
          <w:sz w:val="20"/>
          <w:szCs w:val="20"/>
        </w:rPr>
        <w:t xml:space="preserve"> </w:t>
      </w:r>
      <w:r w:rsidRPr="007A2FA0">
        <w:rPr>
          <w:rFonts w:cstheme="minorHAnsi"/>
          <w:sz w:val="20"/>
          <w:szCs w:val="20"/>
        </w:rPr>
        <w:t>zostały już poniesione (tj. opłacone);</w:t>
      </w:r>
    </w:p>
    <w:p w14:paraId="215B8F27" w14:textId="1F6B9C04" w:rsidR="00321EFA" w:rsidRPr="007A2FA0" w:rsidRDefault="00321EFA" w:rsidP="00E2355F">
      <w:pPr>
        <w:pStyle w:val="Akapitzlist"/>
        <w:numPr>
          <w:ilvl w:val="0"/>
          <w:numId w:val="23"/>
        </w:numPr>
        <w:spacing w:after="60" w:line="240" w:lineRule="auto"/>
        <w:contextualSpacing w:val="0"/>
        <w:jc w:val="both"/>
        <w:rPr>
          <w:rFonts w:cstheme="minorHAnsi"/>
          <w:sz w:val="20"/>
          <w:szCs w:val="20"/>
        </w:rPr>
      </w:pPr>
      <w:r w:rsidRPr="007A2FA0">
        <w:rPr>
          <w:rFonts w:cstheme="minorHAnsi"/>
          <w:sz w:val="20"/>
          <w:szCs w:val="20"/>
        </w:rPr>
        <w:t>refinansowanie jakichkolwiek pożyczek, kredytów lub rat leasingowych</w:t>
      </w:r>
      <w:r w:rsidR="00E2355F" w:rsidRPr="007A2FA0">
        <w:rPr>
          <w:rFonts w:cstheme="minorHAnsi"/>
          <w:sz w:val="20"/>
          <w:szCs w:val="20"/>
        </w:rPr>
        <w:t>, z zastrzeżeniem pkt III.2.6</w:t>
      </w:r>
      <w:r w:rsidRPr="007A2FA0">
        <w:rPr>
          <w:rFonts w:cstheme="minorHAnsi"/>
          <w:sz w:val="20"/>
          <w:szCs w:val="20"/>
        </w:rPr>
        <w:t>;</w:t>
      </w:r>
    </w:p>
    <w:p w14:paraId="508FA1A2" w14:textId="37965055"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zakupu nieruchomości przeznaczonych do obrotu lub stanowiące lokatę kapitału;</w:t>
      </w:r>
    </w:p>
    <w:p w14:paraId="1C948C1F" w14:textId="1001CAFF" w:rsidR="00E2355F" w:rsidRPr="007A2FA0" w:rsidRDefault="00E2355F" w:rsidP="00E2355F">
      <w:pPr>
        <w:pStyle w:val="Akapitzlist"/>
        <w:numPr>
          <w:ilvl w:val="0"/>
          <w:numId w:val="23"/>
        </w:numPr>
        <w:spacing w:after="60" w:line="240" w:lineRule="auto"/>
        <w:contextualSpacing w:val="0"/>
        <w:jc w:val="both"/>
        <w:rPr>
          <w:rFonts w:cstheme="minorHAnsi"/>
          <w:sz w:val="20"/>
          <w:szCs w:val="20"/>
        </w:rPr>
      </w:pPr>
      <w:r w:rsidRPr="007A2FA0">
        <w:rPr>
          <w:rFonts w:cstheme="minorHAnsi"/>
          <w:sz w:val="20"/>
          <w:szCs w:val="20"/>
        </w:rPr>
        <w:t>finansowanie zakupu aktywów finansowych przeznaczonych do obrotu;</w:t>
      </w:r>
    </w:p>
    <w:p w14:paraId="3138B538" w14:textId="0F3C8BB9"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kształcenia, szkolenia, szkolenia zawodowego pracowników lub innych przedsięwzięć bezpośrednio objętych zakresem rozporządzenia Parlamentu Europejskiego i Rady (UE) nr 1304/2013 w sprawie Europejskiego Funduszu Społecznego;</w:t>
      </w:r>
    </w:p>
    <w:p w14:paraId="678CF85D" w14:textId="77777777"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 xml:space="preserve">finansowanie działalności w zakresie wytwarzania, przetwórstwa lub wprowadzania do obrotu przez producenta lub importera tytoniu i wyrobów tytoniowych; </w:t>
      </w:r>
    </w:p>
    <w:p w14:paraId="2620EB84" w14:textId="64F4215B" w:rsidR="00321EFA" w:rsidRPr="007A2FA0" w:rsidRDefault="00321EFA" w:rsidP="00E2355F">
      <w:pPr>
        <w:pStyle w:val="Akapitzlist"/>
        <w:numPr>
          <w:ilvl w:val="0"/>
          <w:numId w:val="23"/>
        </w:numPr>
        <w:spacing w:after="60" w:line="240" w:lineRule="auto"/>
        <w:contextualSpacing w:val="0"/>
        <w:jc w:val="both"/>
        <w:rPr>
          <w:rFonts w:cstheme="minorHAnsi"/>
          <w:sz w:val="20"/>
          <w:szCs w:val="20"/>
        </w:rPr>
      </w:pPr>
      <w:r w:rsidRPr="007A2FA0">
        <w:rPr>
          <w:rFonts w:cstheme="minorHAnsi"/>
          <w:sz w:val="20"/>
          <w:szCs w:val="20"/>
        </w:rPr>
        <w:t>finansowanie działalności w zakresie produkcji lub wprowadzania do obrotu przez producenta lub importera napojów alkoholowych</w:t>
      </w:r>
      <w:r w:rsidR="00E2355F" w:rsidRPr="007A2FA0">
        <w:rPr>
          <w:rFonts w:cstheme="minorHAnsi"/>
          <w:sz w:val="20"/>
          <w:szCs w:val="20"/>
        </w:rPr>
        <w:t>, jeżeli jest to główna działalność przedsiębiorcy</w:t>
      </w:r>
      <w:r w:rsidRPr="007A2FA0">
        <w:rPr>
          <w:rFonts w:cstheme="minorHAnsi"/>
          <w:sz w:val="20"/>
          <w:szCs w:val="20"/>
        </w:rPr>
        <w:t>;</w:t>
      </w:r>
    </w:p>
    <w:p w14:paraId="57F7F7BA" w14:textId="77777777"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działalności w zakresie produkcji lub wprowadzania do obrotu przez producenta lub importera treści pornograficznych;</w:t>
      </w:r>
    </w:p>
    <w:p w14:paraId="5EE76D11" w14:textId="20C8EAC9"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działalności w zakresie obrotu materiałami wybuchowymi, bronią i amunicją;</w:t>
      </w:r>
    </w:p>
    <w:p w14:paraId="6F4FFE7D" w14:textId="77777777"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działalności w zakresie gier losowych, zakładów wzajemnych, gier na automatach i gier na automatach o niskich wygranych;</w:t>
      </w:r>
    </w:p>
    <w:p w14:paraId="6AE2EF07" w14:textId="77777777"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działalności w zakresie produkcji lub wprowadzania do obrotu przez producenta lub importera środków odurzających, substancji psychotropowych lub prekursorów;</w:t>
      </w:r>
    </w:p>
    <w:p w14:paraId="1EF8D5DB" w14:textId="77777777"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likwidacji lub budowy elektrowni jądrowych;</w:t>
      </w:r>
    </w:p>
    <w:p w14:paraId="4B310534" w14:textId="77777777"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 xml:space="preserve">finansowanie inwestycji na rzecz redukcji emisji gazów cieplarnianych pochodzących </w:t>
      </w:r>
      <w:r w:rsidRPr="007A2FA0">
        <w:rPr>
          <w:rFonts w:cstheme="minorHAnsi"/>
          <w:sz w:val="20"/>
          <w:szCs w:val="20"/>
        </w:rPr>
        <w:br/>
        <w:t>z listy działań wymienionych w załączniku I do dyrektywy 2003/87/WE;</w:t>
      </w:r>
    </w:p>
    <w:p w14:paraId="32A18325" w14:textId="2F294B3E" w:rsidR="00321EFA" w:rsidRPr="007A2FA0" w:rsidRDefault="00321EFA" w:rsidP="00AE7B53">
      <w:pPr>
        <w:pStyle w:val="Akapitzlist"/>
        <w:numPr>
          <w:ilvl w:val="0"/>
          <w:numId w:val="23"/>
        </w:numPr>
        <w:spacing w:after="60" w:line="240" w:lineRule="auto"/>
        <w:ind w:left="992" w:hanging="425"/>
        <w:contextualSpacing w:val="0"/>
        <w:jc w:val="both"/>
        <w:rPr>
          <w:rFonts w:cstheme="minorHAnsi"/>
          <w:sz w:val="20"/>
          <w:szCs w:val="20"/>
        </w:rPr>
      </w:pPr>
      <w:r w:rsidRPr="007A2FA0">
        <w:rPr>
          <w:rFonts w:cstheme="minorHAnsi"/>
          <w:sz w:val="20"/>
          <w:szCs w:val="20"/>
        </w:rPr>
        <w:t>finansowanie inwestycji w infrastrukturę portów lotniczych, chyba że są one związane z ochroną środowiska lub towarzyszą im inwestycje niezbędne do łagodzenia lub ograniczenia ich negatywnego oddziaływania na środowisko.</w:t>
      </w:r>
    </w:p>
    <w:p w14:paraId="2DCF4E58" w14:textId="77777777" w:rsidR="00EC07BB" w:rsidRPr="007A2FA0" w:rsidRDefault="00EC07BB" w:rsidP="006B26B1">
      <w:pPr>
        <w:spacing w:after="120"/>
        <w:jc w:val="both"/>
        <w:rPr>
          <w:rFonts w:cstheme="minorHAnsi"/>
          <w:sz w:val="20"/>
          <w:szCs w:val="20"/>
        </w:rPr>
      </w:pPr>
    </w:p>
    <w:p w14:paraId="67C7B005" w14:textId="77777777" w:rsidR="00C94198" w:rsidRPr="007A2FA0" w:rsidRDefault="00C94198" w:rsidP="009E3574">
      <w:pPr>
        <w:pStyle w:val="Akapitzlist"/>
        <w:keepNext/>
        <w:numPr>
          <w:ilvl w:val="0"/>
          <w:numId w:val="13"/>
        </w:numPr>
        <w:spacing w:after="120"/>
        <w:ind w:left="425" w:hanging="425"/>
        <w:contextualSpacing w:val="0"/>
        <w:jc w:val="both"/>
        <w:rPr>
          <w:rFonts w:cstheme="minorHAnsi"/>
          <w:b/>
          <w:sz w:val="20"/>
          <w:szCs w:val="20"/>
        </w:rPr>
      </w:pPr>
      <w:r w:rsidRPr="007A2FA0">
        <w:rPr>
          <w:rFonts w:cstheme="minorHAnsi"/>
          <w:b/>
          <w:sz w:val="20"/>
          <w:szCs w:val="20"/>
        </w:rPr>
        <w:t>Ograniczenia w finansowaniu</w:t>
      </w:r>
    </w:p>
    <w:p w14:paraId="72B8A680" w14:textId="22DE3CBE" w:rsidR="00CE36D6" w:rsidRPr="007A2FA0" w:rsidRDefault="00C94198" w:rsidP="00ED26AE">
      <w:pPr>
        <w:pStyle w:val="Akapitzlist"/>
        <w:numPr>
          <w:ilvl w:val="0"/>
          <w:numId w:val="37"/>
        </w:numPr>
        <w:spacing w:after="120"/>
        <w:ind w:left="425" w:hanging="357"/>
        <w:contextualSpacing w:val="0"/>
        <w:jc w:val="both"/>
        <w:rPr>
          <w:rFonts w:cstheme="minorHAnsi"/>
          <w:sz w:val="20"/>
          <w:szCs w:val="20"/>
        </w:rPr>
      </w:pPr>
      <w:r w:rsidRPr="007A2FA0">
        <w:rPr>
          <w:rFonts w:cstheme="minorHAnsi"/>
          <w:sz w:val="20"/>
          <w:szCs w:val="20"/>
        </w:rPr>
        <w:t xml:space="preserve">Finansowanie zakupu gruntów niezabudowanych i zabudowanych możliwe jest do wysokości 10 % </w:t>
      </w:r>
      <w:r w:rsidR="00143B24" w:rsidRPr="007A2FA0">
        <w:rPr>
          <w:rFonts w:cstheme="minorHAnsi"/>
          <w:sz w:val="20"/>
          <w:szCs w:val="20"/>
        </w:rPr>
        <w:t>środków</w:t>
      </w:r>
      <w:r w:rsidR="002341C7" w:rsidRPr="007A2FA0">
        <w:rPr>
          <w:rFonts w:cstheme="minorHAnsi"/>
          <w:sz w:val="20"/>
          <w:szCs w:val="20"/>
        </w:rPr>
        <w:t xml:space="preserve"> </w:t>
      </w:r>
      <w:r w:rsidR="00CF74C3" w:rsidRPr="007A2FA0">
        <w:rPr>
          <w:rFonts w:cstheme="minorHAnsi"/>
          <w:sz w:val="20"/>
          <w:szCs w:val="20"/>
        </w:rPr>
        <w:t xml:space="preserve">Pożyczki </w:t>
      </w:r>
      <w:r w:rsidRPr="007A2FA0">
        <w:rPr>
          <w:rFonts w:cstheme="minorHAnsi"/>
          <w:sz w:val="20"/>
          <w:szCs w:val="20"/>
        </w:rPr>
        <w:t>wypłacon</w:t>
      </w:r>
      <w:r w:rsidR="00143B24" w:rsidRPr="007A2FA0">
        <w:rPr>
          <w:rFonts w:cstheme="minorHAnsi"/>
          <w:sz w:val="20"/>
          <w:szCs w:val="20"/>
        </w:rPr>
        <w:t>ych</w:t>
      </w:r>
      <w:r w:rsidRPr="007A2FA0">
        <w:rPr>
          <w:rFonts w:cstheme="minorHAnsi"/>
          <w:sz w:val="20"/>
          <w:szCs w:val="20"/>
        </w:rPr>
        <w:t xml:space="preserve"> na rzecz </w:t>
      </w:r>
      <w:r w:rsidR="0069098E" w:rsidRPr="007A2FA0">
        <w:rPr>
          <w:rFonts w:cstheme="minorHAnsi"/>
          <w:sz w:val="20"/>
          <w:szCs w:val="20"/>
        </w:rPr>
        <w:t>Pożyczkobiorcy</w:t>
      </w:r>
      <w:r w:rsidRPr="007A2FA0">
        <w:rPr>
          <w:rFonts w:cstheme="minorHAnsi"/>
          <w:sz w:val="20"/>
          <w:szCs w:val="20"/>
        </w:rPr>
        <w:t>.</w:t>
      </w:r>
    </w:p>
    <w:p w14:paraId="7C1B17D0" w14:textId="5FA9EB5E" w:rsidR="005F3EAE" w:rsidRPr="007A2FA0" w:rsidRDefault="00ED26AE" w:rsidP="00ED26AE">
      <w:pPr>
        <w:pStyle w:val="Akapitzlist"/>
        <w:numPr>
          <w:ilvl w:val="0"/>
          <w:numId w:val="37"/>
        </w:numPr>
        <w:spacing w:after="120"/>
        <w:ind w:left="426"/>
        <w:jc w:val="both"/>
        <w:rPr>
          <w:rFonts w:cstheme="minorHAnsi"/>
          <w:b/>
          <w:sz w:val="20"/>
          <w:szCs w:val="20"/>
        </w:rPr>
      </w:pPr>
      <w:r w:rsidRPr="007A2FA0">
        <w:rPr>
          <w:rFonts w:cstheme="minorHAnsi"/>
          <w:sz w:val="20"/>
          <w:szCs w:val="20"/>
        </w:rPr>
        <w:t xml:space="preserve">O ile jest to niezbędne do utrzymania działalności Pożyczkobiorcy i poprawy jego płynności finansowej, dopuszcza się finansowane wydatków inwestycyjnych do wysokości 20% środków wypłaconych na rzecz Pożyczkobiorcy. </w:t>
      </w:r>
    </w:p>
    <w:p w14:paraId="5A91258F" w14:textId="77777777" w:rsidR="00ED26AE" w:rsidRPr="007A2FA0" w:rsidRDefault="00ED26AE" w:rsidP="006B26B1">
      <w:pPr>
        <w:spacing w:after="120"/>
        <w:ind w:left="426" w:hanging="426"/>
        <w:jc w:val="both"/>
        <w:rPr>
          <w:rFonts w:cstheme="minorHAnsi"/>
          <w:b/>
          <w:sz w:val="20"/>
          <w:szCs w:val="20"/>
          <w:highlight w:val="yellow"/>
        </w:rPr>
      </w:pPr>
    </w:p>
    <w:p w14:paraId="37B8A677" w14:textId="780758E1" w:rsidR="00321EFA" w:rsidRPr="007A2FA0" w:rsidRDefault="005C057F" w:rsidP="00C2625D">
      <w:pPr>
        <w:pStyle w:val="Akapitzlist"/>
        <w:keepNext/>
        <w:numPr>
          <w:ilvl w:val="0"/>
          <w:numId w:val="13"/>
        </w:numPr>
        <w:spacing w:after="120"/>
        <w:ind w:left="425" w:hanging="425"/>
        <w:contextualSpacing w:val="0"/>
        <w:jc w:val="both"/>
        <w:rPr>
          <w:rFonts w:cstheme="minorHAnsi"/>
          <w:sz w:val="20"/>
          <w:szCs w:val="20"/>
        </w:rPr>
      </w:pPr>
      <w:r w:rsidRPr="007A2FA0">
        <w:rPr>
          <w:rFonts w:cstheme="minorHAnsi"/>
          <w:b/>
          <w:sz w:val="20"/>
          <w:szCs w:val="20"/>
        </w:rPr>
        <w:lastRenderedPageBreak/>
        <w:t xml:space="preserve">Zasady </w:t>
      </w:r>
      <w:r w:rsidR="00EE07F6" w:rsidRPr="007A2FA0">
        <w:rPr>
          <w:rFonts w:cstheme="minorHAnsi"/>
          <w:b/>
          <w:sz w:val="20"/>
          <w:szCs w:val="20"/>
        </w:rPr>
        <w:t xml:space="preserve">odpłatności za udzielenie </w:t>
      </w:r>
      <w:r w:rsidR="00A21B2D" w:rsidRPr="007A2FA0">
        <w:rPr>
          <w:rFonts w:cstheme="minorHAnsi"/>
          <w:b/>
          <w:sz w:val="20"/>
          <w:szCs w:val="20"/>
        </w:rPr>
        <w:t xml:space="preserve">Pożyczki </w:t>
      </w:r>
      <w:r w:rsidR="00321EFA" w:rsidRPr="007A2FA0">
        <w:rPr>
          <w:rFonts w:cstheme="minorHAnsi"/>
          <w:b/>
          <w:sz w:val="20"/>
          <w:szCs w:val="20"/>
        </w:rPr>
        <w:t>Płynnościowej POIR</w:t>
      </w:r>
    </w:p>
    <w:p w14:paraId="5F7FDBBC" w14:textId="77777777" w:rsidR="00AE7B53" w:rsidRPr="007A2FA0" w:rsidRDefault="00321EFA" w:rsidP="00321EFA">
      <w:pPr>
        <w:pStyle w:val="Akapitzlist"/>
        <w:numPr>
          <w:ilvl w:val="0"/>
          <w:numId w:val="2"/>
        </w:numPr>
        <w:tabs>
          <w:tab w:val="clear" w:pos="720"/>
        </w:tabs>
        <w:spacing w:after="120"/>
        <w:ind w:left="426"/>
        <w:contextualSpacing w:val="0"/>
        <w:jc w:val="both"/>
        <w:rPr>
          <w:rFonts w:cstheme="minorHAnsi"/>
          <w:sz w:val="20"/>
          <w:szCs w:val="20"/>
        </w:rPr>
      </w:pPr>
      <w:r w:rsidRPr="007A2FA0">
        <w:rPr>
          <w:rFonts w:cstheme="minorHAnsi"/>
          <w:sz w:val="20"/>
          <w:szCs w:val="20"/>
        </w:rPr>
        <w:t>Pożyczka oprocentowana jest</w:t>
      </w:r>
      <w:r w:rsidR="00AE7B53" w:rsidRPr="007A2FA0">
        <w:rPr>
          <w:rFonts w:cstheme="minorHAnsi"/>
          <w:sz w:val="20"/>
          <w:szCs w:val="20"/>
        </w:rPr>
        <w:t>:</w:t>
      </w:r>
    </w:p>
    <w:p w14:paraId="536D720F" w14:textId="56E3EBCC" w:rsidR="00321EFA" w:rsidRPr="007A2FA0" w:rsidRDefault="00AE7B53" w:rsidP="009320ED">
      <w:pPr>
        <w:pStyle w:val="Akapitzlist"/>
        <w:numPr>
          <w:ilvl w:val="1"/>
          <w:numId w:val="2"/>
        </w:numPr>
        <w:tabs>
          <w:tab w:val="clear" w:pos="1440"/>
        </w:tabs>
        <w:spacing w:after="120"/>
        <w:ind w:left="851" w:hanging="425"/>
        <w:contextualSpacing w:val="0"/>
        <w:jc w:val="both"/>
        <w:rPr>
          <w:rFonts w:cstheme="minorHAnsi"/>
          <w:sz w:val="20"/>
          <w:szCs w:val="20"/>
        </w:rPr>
      </w:pPr>
      <w:r w:rsidRPr="007A2FA0">
        <w:rPr>
          <w:rFonts w:cstheme="minorHAnsi"/>
          <w:sz w:val="20"/>
          <w:szCs w:val="20"/>
        </w:rPr>
        <w:t xml:space="preserve">co do zasady - </w:t>
      </w:r>
      <w:r w:rsidR="00321EFA" w:rsidRPr="007A2FA0">
        <w:rPr>
          <w:rFonts w:cstheme="minorHAnsi"/>
          <w:b/>
          <w:sz w:val="20"/>
          <w:szCs w:val="20"/>
        </w:rPr>
        <w:t xml:space="preserve">na warunkach korzystniejszych niż rynkowe, </w:t>
      </w:r>
      <w:r w:rsidR="00321EFA" w:rsidRPr="007A2FA0">
        <w:rPr>
          <w:rFonts w:cstheme="minorHAnsi"/>
          <w:sz w:val="20"/>
          <w:szCs w:val="20"/>
        </w:rPr>
        <w:t>w wysokości i</w:t>
      </w:r>
      <w:r w:rsidR="00321EFA" w:rsidRPr="007A2FA0">
        <w:rPr>
          <w:rFonts w:cstheme="minorHAnsi"/>
          <w:b/>
          <w:sz w:val="20"/>
          <w:szCs w:val="20"/>
        </w:rPr>
        <w:t xml:space="preserve"> </w:t>
      </w:r>
      <w:r w:rsidR="00321EFA" w:rsidRPr="007A2FA0">
        <w:rPr>
          <w:rFonts w:cstheme="minorHAnsi"/>
          <w:sz w:val="20"/>
          <w:szCs w:val="20"/>
        </w:rPr>
        <w:t xml:space="preserve">zgodnie z zasadami udzielania pomocy określonymi w Rozporządzeniu Ministra Funduszy i Polityki Regionalnej z dnia </w:t>
      </w:r>
      <w:r w:rsidR="00CF76FB" w:rsidRPr="007A2FA0">
        <w:rPr>
          <w:rFonts w:cstheme="minorHAnsi"/>
          <w:sz w:val="20"/>
          <w:szCs w:val="20"/>
        </w:rPr>
        <w:t>1</w:t>
      </w:r>
      <w:r w:rsidR="003E70F6" w:rsidRPr="007A2FA0">
        <w:rPr>
          <w:rFonts w:cstheme="minorHAnsi"/>
          <w:sz w:val="20"/>
          <w:szCs w:val="20"/>
        </w:rPr>
        <w:t xml:space="preserve">4 </w:t>
      </w:r>
      <w:r w:rsidR="00321EFA" w:rsidRPr="007A2FA0">
        <w:rPr>
          <w:rFonts w:cstheme="minorHAnsi"/>
          <w:sz w:val="20"/>
          <w:szCs w:val="20"/>
        </w:rPr>
        <w:t xml:space="preserve">kwietnia 2020 r. </w:t>
      </w:r>
      <w:r w:rsidR="00321EFA" w:rsidRPr="007A2FA0">
        <w:rPr>
          <w:rFonts w:cstheme="minorHAnsi"/>
          <w:i/>
          <w:sz w:val="20"/>
          <w:szCs w:val="20"/>
        </w:rPr>
        <w:t>w sprawie udzielania pomocy z instrumentów finansowych w ramach programów operacyjnych na lata 2014-2020 w celu wspierania polskiej gospodarki w związku z wystąpieniem pandemii COVID-19</w:t>
      </w:r>
      <w:r w:rsidR="00E2355F" w:rsidRPr="007A2FA0">
        <w:rPr>
          <w:rFonts w:cstheme="minorHAnsi"/>
          <w:i/>
          <w:sz w:val="20"/>
          <w:szCs w:val="20"/>
          <w:vertAlign w:val="superscript"/>
        </w:rPr>
        <w:footnoteReference w:id="4"/>
      </w:r>
      <w:r w:rsidR="00E2355F" w:rsidRPr="007A2FA0">
        <w:rPr>
          <w:rFonts w:cstheme="minorHAnsi"/>
          <w:i/>
          <w:sz w:val="20"/>
          <w:szCs w:val="20"/>
        </w:rPr>
        <w:t xml:space="preserve"> (z </w:t>
      </w:r>
      <w:proofErr w:type="spellStart"/>
      <w:r w:rsidR="00E2355F" w:rsidRPr="007A2FA0">
        <w:rPr>
          <w:rFonts w:cstheme="minorHAnsi"/>
          <w:i/>
          <w:sz w:val="20"/>
          <w:szCs w:val="20"/>
        </w:rPr>
        <w:t>późn</w:t>
      </w:r>
      <w:proofErr w:type="spellEnd"/>
      <w:r w:rsidR="00E2355F" w:rsidRPr="007A2FA0">
        <w:rPr>
          <w:rFonts w:cstheme="minorHAnsi"/>
          <w:i/>
          <w:sz w:val="20"/>
          <w:szCs w:val="20"/>
        </w:rPr>
        <w:t>. zm., Rozporządzenie)</w:t>
      </w:r>
      <w:r w:rsidR="00E2355F" w:rsidRPr="007A2FA0">
        <w:rPr>
          <w:rFonts w:cstheme="minorHAnsi"/>
          <w:sz w:val="20"/>
          <w:szCs w:val="20"/>
        </w:rPr>
        <w:t>. Maksymalny  poziom oprocentowania nie może przekraczać stopy bazowej ustalonej zgodnie z komunikatem Komisji Europejskiej</w:t>
      </w:r>
      <w:r w:rsidR="00E2355F" w:rsidRPr="007A2FA0">
        <w:rPr>
          <w:rFonts w:cstheme="minorHAnsi"/>
          <w:b/>
          <w:sz w:val="20"/>
          <w:szCs w:val="20"/>
          <w:vertAlign w:val="superscript"/>
        </w:rPr>
        <w:footnoteReference w:id="5"/>
      </w:r>
      <w:r w:rsidR="00E2355F" w:rsidRPr="007A2FA0">
        <w:rPr>
          <w:rFonts w:cstheme="minorHAnsi"/>
          <w:sz w:val="20"/>
          <w:szCs w:val="20"/>
        </w:rPr>
        <w:t xml:space="preserve">, powiększonej o wartość określoną w § 8 ust. 3 pkt 3 </w:t>
      </w:r>
      <w:proofErr w:type="spellStart"/>
      <w:r w:rsidR="00E2355F" w:rsidRPr="007A2FA0">
        <w:rPr>
          <w:rFonts w:cstheme="minorHAnsi"/>
          <w:sz w:val="20"/>
          <w:szCs w:val="20"/>
        </w:rPr>
        <w:t>ppkt</w:t>
      </w:r>
      <w:proofErr w:type="spellEnd"/>
      <w:r w:rsidR="00E2355F" w:rsidRPr="007A2FA0">
        <w:rPr>
          <w:rFonts w:cstheme="minorHAnsi"/>
          <w:sz w:val="20"/>
          <w:szCs w:val="20"/>
        </w:rPr>
        <w:t xml:space="preserve"> a) Rozporządzenia</w:t>
      </w:r>
    </w:p>
    <w:p w14:paraId="04F45624" w14:textId="3FE3CB96" w:rsidR="00AE7B53" w:rsidRPr="007A2FA0" w:rsidRDefault="00AE7B53" w:rsidP="009320ED">
      <w:pPr>
        <w:pStyle w:val="Akapitzlist"/>
        <w:numPr>
          <w:ilvl w:val="1"/>
          <w:numId w:val="2"/>
        </w:numPr>
        <w:tabs>
          <w:tab w:val="clear" w:pos="1440"/>
        </w:tabs>
        <w:spacing w:after="120"/>
        <w:ind w:left="851" w:hanging="425"/>
        <w:contextualSpacing w:val="0"/>
        <w:jc w:val="both"/>
        <w:rPr>
          <w:rFonts w:cstheme="minorHAnsi"/>
          <w:sz w:val="20"/>
          <w:szCs w:val="20"/>
        </w:rPr>
      </w:pPr>
      <w:r w:rsidRPr="007A2FA0">
        <w:rPr>
          <w:rFonts w:cstheme="minorHAnsi"/>
          <w:b/>
          <w:sz w:val="20"/>
          <w:szCs w:val="20"/>
        </w:rPr>
        <w:t>na warunkach rynkowych</w:t>
      </w:r>
      <w:r w:rsidRPr="007A2FA0">
        <w:rPr>
          <w:rFonts w:cstheme="minorHAnsi"/>
          <w:sz w:val="20"/>
          <w:szCs w:val="20"/>
        </w:rPr>
        <w:t xml:space="preserve"> - w wysokości </w:t>
      </w:r>
      <w:r w:rsidRPr="007A2FA0">
        <w:rPr>
          <w:rFonts w:cstheme="minorHAnsi"/>
          <w:sz w:val="20"/>
          <w:szCs w:val="20"/>
          <w:u w:val="single"/>
        </w:rPr>
        <w:t>stopy referencyjnej</w:t>
      </w:r>
      <w:r w:rsidRPr="007A2FA0">
        <w:rPr>
          <w:rFonts w:cstheme="minorHAnsi"/>
          <w:sz w:val="20"/>
          <w:szCs w:val="20"/>
        </w:rPr>
        <w:t xml:space="preserve"> obliczanej przy zastosowaniu obowiązującej stopy bazowej oraz marży ustalonej w oparciu o </w:t>
      </w:r>
      <w:r w:rsidRPr="007A2FA0">
        <w:rPr>
          <w:rFonts w:cstheme="minorHAnsi"/>
          <w:iCs/>
          <w:sz w:val="20"/>
          <w:szCs w:val="20"/>
        </w:rPr>
        <w:t>Komunikat Komisji Europejskiej</w:t>
      </w:r>
      <w:r w:rsidR="00E2355F" w:rsidRPr="007A2FA0">
        <w:rPr>
          <w:rStyle w:val="Odwoanieprzypisudolnego"/>
          <w:rFonts w:cstheme="minorHAnsi"/>
          <w:iCs/>
          <w:sz w:val="20"/>
          <w:szCs w:val="20"/>
        </w:rPr>
        <w:footnoteReference w:id="6"/>
      </w:r>
      <w:r w:rsidRPr="007A2FA0">
        <w:rPr>
          <w:rFonts w:cstheme="minorHAnsi"/>
          <w:sz w:val="20"/>
          <w:szCs w:val="20"/>
        </w:rPr>
        <w:t xml:space="preserve">, przy czym oprocentowanie rynkowe Jednostkowych Pożyczek stosowane jest wyłącznie w sytuacji, gdy stopa oprocentowania Jednostkowej Pożyczki ustalona na podstawie Rozporządzenia, o którym mowa </w:t>
      </w:r>
      <w:proofErr w:type="spellStart"/>
      <w:r w:rsidRPr="007A2FA0">
        <w:rPr>
          <w:rFonts w:cstheme="minorHAnsi"/>
          <w:sz w:val="20"/>
          <w:szCs w:val="20"/>
        </w:rPr>
        <w:t>ppkt</w:t>
      </w:r>
      <w:proofErr w:type="spellEnd"/>
      <w:r w:rsidRPr="007A2FA0">
        <w:rPr>
          <w:rFonts w:cstheme="minorHAnsi"/>
          <w:sz w:val="20"/>
          <w:szCs w:val="20"/>
        </w:rPr>
        <w:t xml:space="preserve"> 1) powyżej, byłaby wyższa od ww. stopy referencyjnej.</w:t>
      </w:r>
    </w:p>
    <w:p w14:paraId="28BD94E6" w14:textId="419A06B2" w:rsidR="00321EFA" w:rsidRPr="007A2FA0" w:rsidRDefault="00321EFA" w:rsidP="00321EFA">
      <w:pPr>
        <w:pStyle w:val="Akapitzlist"/>
        <w:numPr>
          <w:ilvl w:val="0"/>
          <w:numId w:val="2"/>
        </w:numPr>
        <w:tabs>
          <w:tab w:val="clear" w:pos="720"/>
        </w:tabs>
        <w:spacing w:after="120"/>
        <w:ind w:left="426"/>
        <w:contextualSpacing w:val="0"/>
        <w:jc w:val="both"/>
        <w:rPr>
          <w:rFonts w:cstheme="minorHAnsi"/>
          <w:sz w:val="20"/>
          <w:szCs w:val="20"/>
        </w:rPr>
      </w:pPr>
      <w:r w:rsidRPr="007A2FA0">
        <w:rPr>
          <w:rFonts w:cstheme="minorHAnsi"/>
          <w:sz w:val="20"/>
          <w:szCs w:val="20"/>
        </w:rPr>
        <w:t xml:space="preserve">Pożyczka objęta jest dotacją na pokrycie </w:t>
      </w:r>
      <w:r w:rsidRPr="007A2FA0">
        <w:rPr>
          <w:rFonts w:cstheme="minorHAnsi"/>
          <w:b/>
          <w:sz w:val="20"/>
          <w:szCs w:val="20"/>
        </w:rPr>
        <w:t>całkowitej wartości odsetek od kapitału</w:t>
      </w:r>
      <w:r w:rsidRPr="007A2FA0">
        <w:rPr>
          <w:rFonts w:cstheme="minorHAnsi"/>
          <w:sz w:val="20"/>
          <w:szCs w:val="20"/>
        </w:rPr>
        <w:t xml:space="preserve">. Pomoc w formie dotacji na odsetki udzielana jest zgodnie z </w:t>
      </w:r>
      <w:r w:rsidR="00516A3A" w:rsidRPr="007A2FA0">
        <w:rPr>
          <w:rFonts w:cstheme="minorHAnsi"/>
          <w:sz w:val="20"/>
          <w:szCs w:val="20"/>
        </w:rPr>
        <w:t>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w:t>
      </w:r>
      <w:r w:rsidR="007C2C09" w:rsidRPr="007A2FA0">
        <w:rPr>
          <w:rStyle w:val="Odwoanieprzypisudolnego"/>
          <w:rFonts w:cstheme="minorHAnsi"/>
          <w:sz w:val="20"/>
          <w:szCs w:val="20"/>
        </w:rPr>
        <w:footnoteReference w:id="7"/>
      </w:r>
      <w:r w:rsidR="007C2C09" w:rsidRPr="007A2FA0">
        <w:rPr>
          <w:rFonts w:cstheme="minorHAnsi"/>
          <w:sz w:val="20"/>
          <w:szCs w:val="20"/>
        </w:rPr>
        <w:t xml:space="preserve"> (z </w:t>
      </w:r>
      <w:proofErr w:type="spellStart"/>
      <w:r w:rsidR="007C2C09" w:rsidRPr="007A2FA0">
        <w:rPr>
          <w:rFonts w:cstheme="minorHAnsi"/>
          <w:sz w:val="20"/>
          <w:szCs w:val="20"/>
        </w:rPr>
        <w:t>późn</w:t>
      </w:r>
      <w:proofErr w:type="spellEnd"/>
      <w:r w:rsidR="007C2C09" w:rsidRPr="007A2FA0">
        <w:rPr>
          <w:rFonts w:cstheme="minorHAnsi"/>
          <w:sz w:val="20"/>
          <w:szCs w:val="20"/>
        </w:rPr>
        <w:t>. zm.)</w:t>
      </w:r>
      <w:r w:rsidR="00516A3A" w:rsidRPr="007A2FA0">
        <w:rPr>
          <w:rFonts w:cstheme="minorHAnsi"/>
          <w:sz w:val="20"/>
          <w:szCs w:val="20"/>
        </w:rPr>
        <w:t xml:space="preserve">. </w:t>
      </w:r>
    </w:p>
    <w:p w14:paraId="0C06012B" w14:textId="4CFFB21B" w:rsidR="00321EFA" w:rsidRPr="007A2FA0" w:rsidRDefault="00AE7B53" w:rsidP="00321EFA">
      <w:pPr>
        <w:pStyle w:val="Akapitzlist"/>
        <w:numPr>
          <w:ilvl w:val="0"/>
          <w:numId w:val="2"/>
        </w:numPr>
        <w:tabs>
          <w:tab w:val="clear" w:pos="720"/>
          <w:tab w:val="num" w:pos="426"/>
        </w:tabs>
        <w:spacing w:after="120"/>
        <w:ind w:left="425" w:hanging="425"/>
        <w:contextualSpacing w:val="0"/>
        <w:jc w:val="both"/>
        <w:rPr>
          <w:rFonts w:cstheme="minorHAnsi"/>
          <w:sz w:val="20"/>
          <w:szCs w:val="20"/>
        </w:rPr>
      </w:pPr>
      <w:r w:rsidRPr="007A2FA0">
        <w:rPr>
          <w:rFonts w:cstheme="minorHAnsi"/>
          <w:sz w:val="20"/>
          <w:szCs w:val="20"/>
        </w:rPr>
        <w:t xml:space="preserve">Z zastrzeżeniem </w:t>
      </w:r>
      <w:proofErr w:type="spellStart"/>
      <w:r w:rsidRPr="007A2FA0">
        <w:rPr>
          <w:rFonts w:cstheme="minorHAnsi"/>
          <w:sz w:val="20"/>
          <w:szCs w:val="20"/>
        </w:rPr>
        <w:t>ppkt</w:t>
      </w:r>
      <w:proofErr w:type="spellEnd"/>
      <w:r w:rsidRPr="007A2FA0">
        <w:rPr>
          <w:rFonts w:cstheme="minorHAnsi"/>
          <w:sz w:val="20"/>
          <w:szCs w:val="20"/>
        </w:rPr>
        <w:t xml:space="preserve"> 1.2) powyżej, w</w:t>
      </w:r>
      <w:r w:rsidR="00321EFA" w:rsidRPr="007A2FA0">
        <w:rPr>
          <w:rFonts w:cstheme="minorHAnsi"/>
          <w:sz w:val="20"/>
          <w:szCs w:val="20"/>
        </w:rPr>
        <w:t xml:space="preserve"> przypadku niespełnienia przez Pożyczkobiorcę jakiegokolwiek </w:t>
      </w:r>
      <w:r w:rsidR="007862C0">
        <w:rPr>
          <w:rFonts w:cstheme="minorHAnsi"/>
          <w:sz w:val="20"/>
          <w:szCs w:val="20"/>
        </w:rPr>
        <w:br/>
      </w:r>
      <w:r w:rsidR="00321EFA" w:rsidRPr="007A2FA0">
        <w:rPr>
          <w:rFonts w:cstheme="minorHAnsi"/>
          <w:sz w:val="20"/>
          <w:szCs w:val="20"/>
        </w:rPr>
        <w:t>z warunków umożliwiających udzielenie pomocy, finansowanie nie jest udzielane.</w:t>
      </w:r>
    </w:p>
    <w:p w14:paraId="7E2BC677" w14:textId="08608EAD" w:rsidR="00AE7B53" w:rsidRPr="007A2FA0" w:rsidRDefault="00321EFA" w:rsidP="004E6364">
      <w:pPr>
        <w:pStyle w:val="Akapitzlist"/>
        <w:numPr>
          <w:ilvl w:val="0"/>
          <w:numId w:val="2"/>
        </w:numPr>
        <w:tabs>
          <w:tab w:val="clear" w:pos="720"/>
          <w:tab w:val="num" w:pos="426"/>
        </w:tabs>
        <w:spacing w:after="120"/>
        <w:ind w:left="425" w:hanging="425"/>
        <w:contextualSpacing w:val="0"/>
        <w:jc w:val="both"/>
        <w:rPr>
          <w:rFonts w:cstheme="minorHAnsi"/>
          <w:sz w:val="20"/>
          <w:szCs w:val="20"/>
        </w:rPr>
      </w:pPr>
      <w:r w:rsidRPr="007A2FA0">
        <w:rPr>
          <w:rFonts w:cstheme="minorHAnsi"/>
          <w:sz w:val="20"/>
          <w:szCs w:val="20"/>
        </w:rPr>
        <w:t>Od środków Pożyczki nie pobiera się żadnych opłat i prowizji związanych z ich udostępnieniem i obsługą. Powyższe nie dotyczy odrębnie uregulowanych czynności windykacyjnych.</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tblGrid>
      <w:tr w:rsidR="00321EFA" w:rsidRPr="007A2FA0" w14:paraId="292BE5BA" w14:textId="74D682DC" w:rsidTr="007A2FA0">
        <w:tc>
          <w:tcPr>
            <w:tcW w:w="3212" w:type="dxa"/>
            <w:tcBorders>
              <w:bottom w:val="dotted" w:sz="4" w:space="0" w:color="auto"/>
            </w:tcBorders>
          </w:tcPr>
          <w:p w14:paraId="7044F2FE" w14:textId="77777777" w:rsidR="004E6364" w:rsidRPr="007A2FA0" w:rsidRDefault="004E6364" w:rsidP="007A2FA0">
            <w:pPr>
              <w:tabs>
                <w:tab w:val="num" w:pos="426"/>
              </w:tabs>
              <w:spacing w:after="120"/>
              <w:jc w:val="both"/>
              <w:rPr>
                <w:rFonts w:asciiTheme="minorHAnsi" w:hAnsiTheme="minorHAnsi" w:cstheme="minorHAnsi"/>
              </w:rPr>
            </w:pPr>
          </w:p>
          <w:p w14:paraId="292A5AF3" w14:textId="77777777" w:rsidR="005B7393" w:rsidRPr="007A2FA0" w:rsidRDefault="005B7393" w:rsidP="007A2FA0">
            <w:pPr>
              <w:tabs>
                <w:tab w:val="num" w:pos="426"/>
              </w:tabs>
              <w:spacing w:after="120"/>
              <w:jc w:val="both"/>
              <w:rPr>
                <w:rFonts w:asciiTheme="minorHAnsi" w:hAnsiTheme="minorHAnsi" w:cstheme="minorHAnsi"/>
              </w:rPr>
            </w:pPr>
          </w:p>
          <w:p w14:paraId="6F56E2D3" w14:textId="3B36344B" w:rsidR="005B7393" w:rsidRPr="007A2FA0" w:rsidRDefault="005B7393" w:rsidP="007A2FA0">
            <w:pPr>
              <w:tabs>
                <w:tab w:val="num" w:pos="426"/>
              </w:tabs>
              <w:spacing w:after="120"/>
              <w:jc w:val="both"/>
              <w:rPr>
                <w:rFonts w:asciiTheme="minorHAnsi" w:hAnsiTheme="minorHAnsi" w:cstheme="minorHAnsi"/>
              </w:rPr>
            </w:pPr>
          </w:p>
        </w:tc>
      </w:tr>
      <w:tr w:rsidR="00321EFA" w:rsidRPr="007A2FA0" w14:paraId="44B09798" w14:textId="4D5A480A" w:rsidTr="007A2FA0">
        <w:tc>
          <w:tcPr>
            <w:tcW w:w="3212" w:type="dxa"/>
            <w:tcBorders>
              <w:top w:val="dotted" w:sz="4" w:space="0" w:color="auto"/>
            </w:tcBorders>
          </w:tcPr>
          <w:p w14:paraId="1418D8A8" w14:textId="6EC8A22A" w:rsidR="004E6364" w:rsidRPr="007A2FA0" w:rsidRDefault="004E6364" w:rsidP="007A2FA0">
            <w:pPr>
              <w:tabs>
                <w:tab w:val="num" w:pos="426"/>
              </w:tabs>
              <w:spacing w:after="120"/>
              <w:jc w:val="both"/>
              <w:rPr>
                <w:rFonts w:asciiTheme="minorHAnsi" w:hAnsiTheme="minorHAnsi" w:cstheme="minorHAnsi"/>
              </w:rPr>
            </w:pPr>
            <w:r w:rsidRPr="007A2FA0">
              <w:rPr>
                <w:rFonts w:asciiTheme="minorHAnsi" w:hAnsiTheme="minorHAnsi" w:cstheme="minorHAnsi"/>
              </w:rPr>
              <w:t xml:space="preserve">Podpis </w:t>
            </w:r>
            <w:r w:rsidR="00511011" w:rsidRPr="007A2FA0">
              <w:rPr>
                <w:rFonts w:asciiTheme="minorHAnsi" w:hAnsiTheme="minorHAnsi" w:cstheme="minorHAnsi"/>
              </w:rPr>
              <w:t>pożyczkodawcy</w:t>
            </w:r>
          </w:p>
        </w:tc>
      </w:tr>
    </w:tbl>
    <w:p w14:paraId="3B6C3FC7" w14:textId="40CACC7B" w:rsidR="004E6364" w:rsidRPr="007A2FA0" w:rsidRDefault="007A2FA0" w:rsidP="004E6364">
      <w:pPr>
        <w:tabs>
          <w:tab w:val="num" w:pos="426"/>
        </w:tabs>
        <w:spacing w:after="120"/>
        <w:jc w:val="both"/>
        <w:rPr>
          <w:rFonts w:cstheme="minorHAnsi"/>
          <w:sz w:val="20"/>
          <w:szCs w:val="20"/>
        </w:rPr>
      </w:pPr>
      <w:bookmarkStart w:id="0" w:name="_GoBack"/>
      <w:bookmarkEnd w:id="0"/>
      <w:r>
        <w:rPr>
          <w:rFonts w:cstheme="minorHAnsi"/>
          <w:sz w:val="20"/>
          <w:szCs w:val="20"/>
        </w:rPr>
        <w:br w:type="textWrapping" w:clear="all"/>
      </w:r>
    </w:p>
    <w:p w14:paraId="03FBD6B1" w14:textId="3DC4B5B8" w:rsidR="004E6364" w:rsidRPr="007A2FA0" w:rsidRDefault="004E6364" w:rsidP="004E6364">
      <w:pPr>
        <w:tabs>
          <w:tab w:val="num" w:pos="426"/>
        </w:tabs>
        <w:spacing w:after="120"/>
        <w:jc w:val="both"/>
        <w:rPr>
          <w:rFonts w:cstheme="minorHAnsi"/>
          <w:sz w:val="20"/>
          <w:szCs w:val="20"/>
        </w:rPr>
      </w:pPr>
      <w:r w:rsidRPr="007A2FA0">
        <w:rPr>
          <w:rFonts w:cstheme="minorHAnsi"/>
          <w:sz w:val="20"/>
          <w:szCs w:val="20"/>
        </w:rPr>
        <w:t>Oświadczam, iż zapoznałem się z treścią niniejszego dokumentu:</w:t>
      </w:r>
    </w:p>
    <w:tbl>
      <w:tblPr>
        <w:tblStyle w:val="Tabela-Siatka"/>
        <w:tblW w:w="0" w:type="auto"/>
        <w:tblLook w:val="04A0" w:firstRow="1" w:lastRow="0" w:firstColumn="1" w:lastColumn="0" w:noHBand="0" w:noVBand="1"/>
      </w:tblPr>
      <w:tblGrid>
        <w:gridCol w:w="3212"/>
      </w:tblGrid>
      <w:tr w:rsidR="00321EFA" w:rsidRPr="007A2FA0" w14:paraId="0E586003" w14:textId="5E72DBF2" w:rsidTr="004E6364">
        <w:tc>
          <w:tcPr>
            <w:tcW w:w="3212" w:type="dxa"/>
            <w:tcBorders>
              <w:top w:val="nil"/>
              <w:left w:val="nil"/>
              <w:bottom w:val="dotted" w:sz="4" w:space="0" w:color="auto"/>
              <w:right w:val="nil"/>
            </w:tcBorders>
          </w:tcPr>
          <w:p w14:paraId="58EFF18B" w14:textId="77777777" w:rsidR="005B7393" w:rsidRPr="007A2FA0" w:rsidRDefault="005B7393" w:rsidP="003A035B">
            <w:pPr>
              <w:tabs>
                <w:tab w:val="num" w:pos="426"/>
              </w:tabs>
              <w:spacing w:after="120"/>
              <w:jc w:val="both"/>
              <w:rPr>
                <w:rFonts w:asciiTheme="minorHAnsi" w:hAnsiTheme="minorHAnsi" w:cstheme="minorHAnsi"/>
              </w:rPr>
            </w:pPr>
          </w:p>
          <w:p w14:paraId="7927FE6C" w14:textId="53CF25D7" w:rsidR="00AE7B53" w:rsidRPr="007A2FA0" w:rsidRDefault="00AE7B53" w:rsidP="003A035B">
            <w:pPr>
              <w:tabs>
                <w:tab w:val="num" w:pos="426"/>
              </w:tabs>
              <w:spacing w:after="120"/>
              <w:jc w:val="both"/>
              <w:rPr>
                <w:rFonts w:asciiTheme="minorHAnsi" w:hAnsiTheme="minorHAnsi" w:cstheme="minorHAnsi"/>
              </w:rPr>
            </w:pPr>
          </w:p>
        </w:tc>
      </w:tr>
      <w:tr w:rsidR="00321EFA" w:rsidRPr="007A2FA0" w14:paraId="03E504F5" w14:textId="4C3AEECC" w:rsidTr="004E6364">
        <w:tc>
          <w:tcPr>
            <w:tcW w:w="3212" w:type="dxa"/>
            <w:tcBorders>
              <w:top w:val="dotted" w:sz="4" w:space="0" w:color="auto"/>
              <w:left w:val="nil"/>
              <w:bottom w:val="nil"/>
              <w:right w:val="nil"/>
            </w:tcBorders>
          </w:tcPr>
          <w:p w14:paraId="6F68006B" w14:textId="3D038CBC" w:rsidR="004E6364" w:rsidRPr="007A2FA0" w:rsidRDefault="004E6364" w:rsidP="003E578E">
            <w:pPr>
              <w:tabs>
                <w:tab w:val="num" w:pos="426"/>
              </w:tabs>
              <w:spacing w:after="120"/>
              <w:jc w:val="both"/>
              <w:rPr>
                <w:rFonts w:asciiTheme="minorHAnsi" w:hAnsiTheme="minorHAnsi" w:cstheme="minorHAnsi"/>
              </w:rPr>
            </w:pPr>
            <w:r w:rsidRPr="007A2FA0">
              <w:rPr>
                <w:rFonts w:asciiTheme="minorHAnsi" w:hAnsiTheme="minorHAnsi" w:cstheme="minorHAnsi"/>
              </w:rPr>
              <w:t xml:space="preserve">Podpis </w:t>
            </w:r>
            <w:r w:rsidR="003E578E" w:rsidRPr="007A2FA0">
              <w:rPr>
                <w:rFonts w:asciiTheme="minorHAnsi" w:hAnsiTheme="minorHAnsi" w:cstheme="minorHAnsi"/>
              </w:rPr>
              <w:t>pożyczkobiorcy</w:t>
            </w:r>
          </w:p>
        </w:tc>
      </w:tr>
    </w:tbl>
    <w:p w14:paraId="42D78444" w14:textId="77777777" w:rsidR="004E6364" w:rsidRPr="007A2FA0" w:rsidRDefault="004E6364">
      <w:pPr>
        <w:tabs>
          <w:tab w:val="num" w:pos="426"/>
        </w:tabs>
        <w:spacing w:after="120"/>
        <w:jc w:val="both"/>
        <w:rPr>
          <w:rFonts w:cstheme="minorHAnsi"/>
          <w:sz w:val="20"/>
          <w:szCs w:val="20"/>
        </w:rPr>
      </w:pPr>
    </w:p>
    <w:sectPr w:rsidR="004E6364" w:rsidRPr="007A2FA0" w:rsidSect="007A2FA0">
      <w:headerReference w:type="default" r:id="rId9"/>
      <w:footerReference w:type="default" r:id="rId10"/>
      <w:pgSz w:w="11906" w:h="16838"/>
      <w:pgMar w:top="1560" w:right="1133" w:bottom="1843"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2F8D" w14:textId="77777777" w:rsidR="001E2E0C" w:rsidRDefault="001E2E0C" w:rsidP="00BA3860">
      <w:pPr>
        <w:spacing w:after="0" w:line="240" w:lineRule="auto"/>
      </w:pPr>
      <w:r>
        <w:separator/>
      </w:r>
    </w:p>
  </w:endnote>
  <w:endnote w:type="continuationSeparator" w:id="0">
    <w:p w14:paraId="59B9EF1C" w14:textId="77777777" w:rsidR="001E2E0C" w:rsidRDefault="001E2E0C" w:rsidP="00BA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horndale A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73756"/>
      <w:docPartObj>
        <w:docPartGallery w:val="Page Numbers (Bottom of Page)"/>
        <w:docPartUnique/>
      </w:docPartObj>
    </w:sdtPr>
    <w:sdtEndPr/>
    <w:sdtContent>
      <w:sdt>
        <w:sdtPr>
          <w:id w:val="-666326694"/>
          <w:docPartObj>
            <w:docPartGallery w:val="Page Numbers (Top of Page)"/>
            <w:docPartUnique/>
          </w:docPartObj>
        </w:sdtPr>
        <w:sdtEndPr/>
        <w:sdtContent>
          <w:p w14:paraId="45BACBC1" w14:textId="55C2B6E0" w:rsidR="00F57684" w:rsidRDefault="005B7393">
            <w:pPr>
              <w:pStyle w:val="Stopka"/>
              <w:jc w:val="center"/>
            </w:pPr>
            <w:r>
              <w:rPr>
                <w:rFonts w:cs="Calibri"/>
                <w:noProof/>
                <w:lang w:eastAsia="pl-PL"/>
              </w:rPr>
              <w:drawing>
                <wp:inline distT="0" distB="0" distL="0" distR="0" wp14:anchorId="29EE9DAC" wp14:editId="415B2AB1">
                  <wp:extent cx="6030595" cy="546179"/>
                  <wp:effectExtent l="0" t="0" r="8255" b="6350"/>
                  <wp:docPr id="5" name="Obraz 5"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46179"/>
                          </a:xfrm>
                          <a:prstGeom prst="rect">
                            <a:avLst/>
                          </a:prstGeom>
                          <a:noFill/>
                          <a:ln>
                            <a:noFill/>
                          </a:ln>
                        </pic:spPr>
                      </pic:pic>
                    </a:graphicData>
                  </a:graphic>
                </wp:inline>
              </w:drawing>
            </w:r>
            <w:r w:rsidR="00F57684">
              <w:t xml:space="preserve">Strona </w:t>
            </w:r>
            <w:r w:rsidR="00F57684">
              <w:rPr>
                <w:b/>
                <w:bCs/>
                <w:sz w:val="24"/>
                <w:szCs w:val="24"/>
              </w:rPr>
              <w:fldChar w:fldCharType="begin"/>
            </w:r>
            <w:r w:rsidR="00F57684">
              <w:rPr>
                <w:b/>
                <w:bCs/>
              </w:rPr>
              <w:instrText>PAGE</w:instrText>
            </w:r>
            <w:r w:rsidR="00F57684">
              <w:rPr>
                <w:b/>
                <w:bCs/>
                <w:sz w:val="24"/>
                <w:szCs w:val="24"/>
              </w:rPr>
              <w:fldChar w:fldCharType="separate"/>
            </w:r>
            <w:r w:rsidR="007A2FA0">
              <w:rPr>
                <w:b/>
                <w:bCs/>
                <w:noProof/>
              </w:rPr>
              <w:t>4</w:t>
            </w:r>
            <w:r w:rsidR="00F57684">
              <w:rPr>
                <w:b/>
                <w:bCs/>
                <w:sz w:val="24"/>
                <w:szCs w:val="24"/>
              </w:rPr>
              <w:fldChar w:fldCharType="end"/>
            </w:r>
            <w:r w:rsidR="00F57684">
              <w:t xml:space="preserve"> z </w:t>
            </w:r>
            <w:r w:rsidR="00F57684">
              <w:rPr>
                <w:b/>
                <w:bCs/>
                <w:sz w:val="24"/>
                <w:szCs w:val="24"/>
              </w:rPr>
              <w:fldChar w:fldCharType="begin"/>
            </w:r>
            <w:r w:rsidR="00F57684">
              <w:rPr>
                <w:b/>
                <w:bCs/>
              </w:rPr>
              <w:instrText>NUMPAGES</w:instrText>
            </w:r>
            <w:r w:rsidR="00F57684">
              <w:rPr>
                <w:b/>
                <w:bCs/>
                <w:sz w:val="24"/>
                <w:szCs w:val="24"/>
              </w:rPr>
              <w:fldChar w:fldCharType="separate"/>
            </w:r>
            <w:r w:rsidR="007A2FA0">
              <w:rPr>
                <w:b/>
                <w:bCs/>
                <w:noProof/>
              </w:rPr>
              <w:t>4</w:t>
            </w:r>
            <w:r w:rsidR="00F57684">
              <w:rPr>
                <w:b/>
                <w:bCs/>
                <w:sz w:val="24"/>
                <w:szCs w:val="24"/>
              </w:rPr>
              <w:fldChar w:fldCharType="end"/>
            </w:r>
          </w:p>
        </w:sdtContent>
      </w:sdt>
    </w:sdtContent>
  </w:sdt>
  <w:p w14:paraId="52174086" w14:textId="77777777" w:rsidR="003E4B31" w:rsidRDefault="003E4B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8D18" w14:textId="77777777" w:rsidR="001E2E0C" w:rsidRDefault="001E2E0C" w:rsidP="00BA3860">
      <w:pPr>
        <w:spacing w:after="0" w:line="240" w:lineRule="auto"/>
      </w:pPr>
      <w:r>
        <w:separator/>
      </w:r>
    </w:p>
  </w:footnote>
  <w:footnote w:type="continuationSeparator" w:id="0">
    <w:p w14:paraId="0FFD0ECA" w14:textId="77777777" w:rsidR="001E2E0C" w:rsidRDefault="001E2E0C" w:rsidP="00BA3860">
      <w:pPr>
        <w:spacing w:after="0" w:line="240" w:lineRule="auto"/>
      </w:pPr>
      <w:r>
        <w:continuationSeparator/>
      </w:r>
    </w:p>
  </w:footnote>
  <w:footnote w:id="1">
    <w:p w14:paraId="1C9E2E9B" w14:textId="77777777" w:rsidR="001536EF" w:rsidRDefault="001536EF" w:rsidP="001536EF">
      <w:pPr>
        <w:pStyle w:val="Tekstprzypisudolnego"/>
      </w:pPr>
      <w:r w:rsidRPr="009320ED">
        <w:rPr>
          <w:rStyle w:val="Odwoanieprzypisudolnego"/>
        </w:rPr>
        <w:footnoteRef/>
      </w:r>
      <w:r w:rsidRPr="009320ED">
        <w:t xml:space="preserve"> W dokumentacji aplikacyjnej Pośrednik Finansowy uwzględnia złożenie przez wnioskodawcę oświadczenia, czy korzysta/będzie korzystał z finansowania w ramach Pożyczki płynnościowej POIR i w jakiej kwocie pożyczki.</w:t>
      </w:r>
    </w:p>
  </w:footnote>
  <w:footnote w:id="2">
    <w:p w14:paraId="16077AC1" w14:textId="5556A13B" w:rsidR="00C2625D" w:rsidRDefault="00C2625D">
      <w:pPr>
        <w:pStyle w:val="Tekstprzypisudolnego"/>
      </w:pPr>
      <w:r>
        <w:rPr>
          <w:rStyle w:val="Odwoanieprzypisudolnego"/>
        </w:rPr>
        <w:footnoteRef/>
      </w:r>
      <w:r>
        <w:t xml:space="preserve"> Projekt – Pożyczki Płynnościowe POIR realizowane przez Bank Gospodarstwa Krajowego we współpracy z Pośrednikami Finansowymi. Lista Pośredników dostępna jest po adresem</w:t>
      </w:r>
      <w:r w:rsidR="00E2621E">
        <w:t xml:space="preserve"> </w:t>
      </w:r>
      <w:r w:rsidR="00E2621E" w:rsidRPr="00E2621E">
        <w:t>https://www.bgk.pl/przedsiebiorstwa/pozyczki-plynnosciowe-poir/</w:t>
      </w:r>
    </w:p>
  </w:footnote>
  <w:footnote w:id="3">
    <w:p w14:paraId="5A320A91" w14:textId="6FD705B1" w:rsidR="00ED26AE" w:rsidRDefault="00ED26AE" w:rsidP="00ED26AE">
      <w:pPr>
        <w:pStyle w:val="Tekstprzypisudolnego"/>
        <w:jc w:val="both"/>
      </w:pPr>
      <w:r>
        <w:rPr>
          <w:rStyle w:val="Odwoanieprzypisudolnego"/>
        </w:rPr>
        <w:footnoteRef/>
      </w:r>
      <w:r>
        <w:t xml:space="preserve"> Bieżąca rata – </w:t>
      </w:r>
      <w:r w:rsidR="00E2355F">
        <w:t xml:space="preserve">nieopłacona </w:t>
      </w:r>
      <w:r>
        <w:t xml:space="preserve">rata z terminem spłaty między </w:t>
      </w:r>
      <w:r w:rsidR="00E2355F" w:rsidRPr="003E1D74">
        <w:t>120 dniami przed dniem złożenia wniosku</w:t>
      </w:r>
      <w:r>
        <w:t xml:space="preserve"> a ostatnim dniem okresu wydatkowania Pożyczki. </w:t>
      </w:r>
    </w:p>
  </w:footnote>
  <w:footnote w:id="4">
    <w:p w14:paraId="33C490AE" w14:textId="77777777" w:rsidR="00E2355F" w:rsidRDefault="00E2355F" w:rsidP="00E2355F">
      <w:pPr>
        <w:pStyle w:val="Tekstprzypisudolnego"/>
      </w:pPr>
      <w:r>
        <w:rPr>
          <w:rStyle w:val="Odwoanieprzypisudolnego"/>
        </w:rPr>
        <w:footnoteRef/>
      </w:r>
      <w:r>
        <w:t xml:space="preserve"> </w:t>
      </w:r>
      <w:r w:rsidRPr="005E60EE">
        <w:t>W przypadku zmiany lub wprowadzenia rozporządzenia zastępującego ww. Rozporządzenie, Pośrednik Finansowy stosuje przepisy aktu zmienionego lub zastępującego.</w:t>
      </w:r>
    </w:p>
  </w:footnote>
  <w:footnote w:id="5">
    <w:p w14:paraId="29B9E170" w14:textId="77777777" w:rsidR="00E2355F" w:rsidRDefault="00E2355F" w:rsidP="00E2355F">
      <w:pPr>
        <w:pStyle w:val="Tekstprzypisudolnego"/>
      </w:pPr>
      <w:r>
        <w:rPr>
          <w:rStyle w:val="Odwoanieprzypisudolnego"/>
        </w:rPr>
        <w:footnoteRef/>
      </w:r>
      <w:r>
        <w:t xml:space="preserve"> Komunikat </w:t>
      </w:r>
      <w:r w:rsidRPr="009D7666">
        <w:t>Komisji w sprawie zmiany metody ustalania stóp referencyjnych i dyskontowych (Dz. Urz. UE C 14 z 19.01.2008</w:t>
      </w:r>
      <w:r>
        <w:t>) lub komunikat zastępujący.</w:t>
      </w:r>
    </w:p>
  </w:footnote>
  <w:footnote w:id="6">
    <w:p w14:paraId="21EBDFFE" w14:textId="77777777" w:rsidR="00E2355F" w:rsidRDefault="00E2355F" w:rsidP="00E2355F">
      <w:pPr>
        <w:pStyle w:val="Tekstprzypisudolnego"/>
      </w:pPr>
      <w:r>
        <w:rPr>
          <w:rStyle w:val="Odwoanieprzypisudolnego"/>
        </w:rPr>
        <w:footnoteRef/>
      </w:r>
      <w:r>
        <w:t xml:space="preserve"> Jw.</w:t>
      </w:r>
    </w:p>
  </w:footnote>
  <w:footnote w:id="7">
    <w:p w14:paraId="53E171CE" w14:textId="77777777" w:rsidR="007C2C09" w:rsidRDefault="007C2C09" w:rsidP="007C2C09">
      <w:pPr>
        <w:pStyle w:val="Tekstprzypisudolnego"/>
      </w:pPr>
      <w:r>
        <w:rPr>
          <w:rStyle w:val="Odwoanieprzypisudolnego"/>
        </w:rPr>
        <w:footnoteRef/>
      </w:r>
      <w:r>
        <w:t xml:space="preserve"> </w:t>
      </w:r>
      <w:r w:rsidRPr="00945FD1">
        <w:t>W przypadku zmiany lub wprowadzenia rozporządzenia zastępującego ww. Rozporządzenie, Pośrednik Finansowy stosuje przepisy aktu zmienionego lub zastępującego.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461E" w14:textId="7B4E46A8" w:rsidR="00F57684" w:rsidRPr="00726A24" w:rsidRDefault="005B7393" w:rsidP="00EF4593">
    <w:pPr>
      <w:pStyle w:val="Nagwek"/>
      <w:tabs>
        <w:tab w:val="clear" w:pos="4536"/>
        <w:tab w:val="clear" w:pos="9072"/>
      </w:tabs>
      <w:spacing w:before="144" w:after="144"/>
      <w:jc w:val="center"/>
    </w:pPr>
    <w:r>
      <w:rPr>
        <w:noProof/>
        <w:lang w:eastAsia="pl-PL"/>
      </w:rPr>
      <w:drawing>
        <wp:inline distT="0" distB="0" distL="0" distR="0" wp14:anchorId="2E2B73F1" wp14:editId="540BB5B2">
          <wp:extent cx="5760720" cy="54546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5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66E"/>
    <w:multiLevelType w:val="hybridMultilevel"/>
    <w:tmpl w:val="B2528560"/>
    <w:lvl w:ilvl="0" w:tplc="9E16351A">
      <w:start w:val="1"/>
      <w:numFmt w:val="decimal"/>
      <w:lvlText w:val="%1."/>
      <w:lvlJc w:val="left"/>
      <w:pPr>
        <w:tabs>
          <w:tab w:val="num" w:pos="717"/>
        </w:tabs>
        <w:ind w:left="717" w:hanging="357"/>
      </w:pPr>
      <w:rPr>
        <w:rFonts w:ascii="Times New Roman" w:hAnsi="Times New Roman" w:hint="default"/>
        <w:b w:val="0"/>
        <w:i w:val="0"/>
        <w:sz w:val="22"/>
      </w:rPr>
    </w:lvl>
    <w:lvl w:ilvl="1" w:tplc="234C911A">
      <w:start w:val="6"/>
      <w:numFmt w:val="upperRoman"/>
      <w:lvlText w:val="%2."/>
      <w:lvlJc w:val="left"/>
      <w:pPr>
        <w:tabs>
          <w:tab w:val="num" w:pos="-363"/>
        </w:tabs>
        <w:ind w:left="-363" w:hanging="357"/>
      </w:pPr>
      <w:rPr>
        <w:rFonts w:ascii="Thorndale AMT" w:hAnsi="Thorndale AMT" w:hint="default"/>
        <w:b/>
        <w:i w:val="0"/>
        <w:sz w:val="22"/>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
    <w:nsid w:val="0463065F"/>
    <w:multiLevelType w:val="hybridMultilevel"/>
    <w:tmpl w:val="9A0E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65A50"/>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CD53D5"/>
    <w:multiLevelType w:val="hybridMultilevel"/>
    <w:tmpl w:val="4BA0CDF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017FC8"/>
    <w:multiLevelType w:val="hybridMultilevel"/>
    <w:tmpl w:val="AC0499D6"/>
    <w:lvl w:ilvl="0" w:tplc="43BE28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BC46B6"/>
    <w:multiLevelType w:val="hybridMultilevel"/>
    <w:tmpl w:val="BDF010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1511C0"/>
    <w:multiLevelType w:val="hybridMultilevel"/>
    <w:tmpl w:val="31C0DF6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E6FC1"/>
    <w:multiLevelType w:val="hybridMultilevel"/>
    <w:tmpl w:val="0F9AE36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43A7D64"/>
    <w:multiLevelType w:val="hybridMultilevel"/>
    <w:tmpl w:val="B336D3A4"/>
    <w:lvl w:ilvl="0" w:tplc="477A6EE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4D64D23"/>
    <w:multiLevelType w:val="hybridMultilevel"/>
    <w:tmpl w:val="E88CCC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32B927DB"/>
    <w:multiLevelType w:val="hybridMultilevel"/>
    <w:tmpl w:val="64B4C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F62625"/>
    <w:multiLevelType w:val="hybridMultilevel"/>
    <w:tmpl w:val="C61CDD6C"/>
    <w:lvl w:ilvl="0" w:tplc="745A38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4D76A89"/>
    <w:multiLevelType w:val="hybridMultilevel"/>
    <w:tmpl w:val="472AA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017E8"/>
    <w:multiLevelType w:val="hybridMultilevel"/>
    <w:tmpl w:val="02480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EAC7CFD"/>
    <w:multiLevelType w:val="hybridMultilevel"/>
    <w:tmpl w:val="956021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4287FF2"/>
    <w:multiLevelType w:val="hybridMultilevel"/>
    <w:tmpl w:val="604005D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81A55E6"/>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802E4C"/>
    <w:multiLevelType w:val="hybridMultilevel"/>
    <w:tmpl w:val="64B4C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E468C"/>
    <w:multiLevelType w:val="hybridMultilevel"/>
    <w:tmpl w:val="4948BA9E"/>
    <w:lvl w:ilvl="0" w:tplc="204A29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DAA4639"/>
    <w:multiLevelType w:val="hybridMultilevel"/>
    <w:tmpl w:val="11EE3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A5240"/>
    <w:multiLevelType w:val="hybridMultilevel"/>
    <w:tmpl w:val="35184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724171"/>
    <w:multiLevelType w:val="hybridMultilevel"/>
    <w:tmpl w:val="A04ABE9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50C7C42"/>
    <w:multiLevelType w:val="hybridMultilevel"/>
    <w:tmpl w:val="9E1C37C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59281A06"/>
    <w:multiLevelType w:val="hybridMultilevel"/>
    <w:tmpl w:val="E84C6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056390"/>
    <w:multiLevelType w:val="hybridMultilevel"/>
    <w:tmpl w:val="9AB0F418"/>
    <w:lvl w:ilvl="0" w:tplc="E12CD8E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EF5352"/>
    <w:multiLevelType w:val="hybridMultilevel"/>
    <w:tmpl w:val="683A196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32375EC"/>
    <w:multiLevelType w:val="hybridMultilevel"/>
    <w:tmpl w:val="04B4DC36"/>
    <w:lvl w:ilvl="0" w:tplc="75D280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63822EFB"/>
    <w:multiLevelType w:val="hybridMultilevel"/>
    <w:tmpl w:val="09FC4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0D3C6D"/>
    <w:multiLevelType w:val="hybridMultilevel"/>
    <w:tmpl w:val="CED07D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5453F8"/>
    <w:multiLevelType w:val="hybridMultilevel"/>
    <w:tmpl w:val="5968573A"/>
    <w:lvl w:ilvl="0" w:tplc="78AE3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576886"/>
    <w:multiLevelType w:val="hybridMultilevel"/>
    <w:tmpl w:val="D3C0F7B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1522241"/>
    <w:multiLevelType w:val="hybridMultilevel"/>
    <w:tmpl w:val="8EF4B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66D7556"/>
    <w:multiLevelType w:val="hybridMultilevel"/>
    <w:tmpl w:val="6C242E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6D52897"/>
    <w:multiLevelType w:val="hybridMultilevel"/>
    <w:tmpl w:val="59DE0194"/>
    <w:lvl w:ilvl="0" w:tplc="75D280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B55327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595B48"/>
    <w:multiLevelType w:val="hybridMultilevel"/>
    <w:tmpl w:val="32369870"/>
    <w:lvl w:ilvl="0" w:tplc="FED026E8">
      <w:start w:val="1"/>
      <w:numFmt w:val="upperRoman"/>
      <w:lvlText w:val="%1."/>
      <w:lvlJc w:val="left"/>
      <w:pPr>
        <w:tabs>
          <w:tab w:val="num" w:pos="357"/>
        </w:tabs>
        <w:ind w:left="357" w:hanging="357"/>
      </w:pPr>
      <w:rPr>
        <w:rFonts w:ascii="Thorndale AMT" w:hAnsi="Thorndale AMT"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0"/>
  </w:num>
  <w:num w:numId="4">
    <w:abstractNumId w:val="12"/>
  </w:num>
  <w:num w:numId="5">
    <w:abstractNumId w:val="23"/>
  </w:num>
  <w:num w:numId="6">
    <w:abstractNumId w:val="28"/>
  </w:num>
  <w:num w:numId="7">
    <w:abstractNumId w:val="22"/>
  </w:num>
  <w:num w:numId="8">
    <w:abstractNumId w:val="19"/>
  </w:num>
  <w:num w:numId="9">
    <w:abstractNumId w:val="29"/>
  </w:num>
  <w:num w:numId="10">
    <w:abstractNumId w:val="36"/>
  </w:num>
  <w:num w:numId="11">
    <w:abstractNumId w:val="5"/>
  </w:num>
  <w:num w:numId="12">
    <w:abstractNumId w:val="35"/>
  </w:num>
  <w:num w:numId="13">
    <w:abstractNumId w:val="24"/>
  </w:num>
  <w:num w:numId="14">
    <w:abstractNumId w:val="10"/>
  </w:num>
  <w:num w:numId="15">
    <w:abstractNumId w:val="8"/>
  </w:num>
  <w:num w:numId="16">
    <w:abstractNumId w:val="25"/>
  </w:num>
  <w:num w:numId="17">
    <w:abstractNumId w:val="33"/>
  </w:num>
  <w:num w:numId="18">
    <w:abstractNumId w:val="32"/>
  </w:num>
  <w:num w:numId="19">
    <w:abstractNumId w:val="14"/>
  </w:num>
  <w:num w:numId="20">
    <w:abstractNumId w:val="20"/>
  </w:num>
  <w:num w:numId="21">
    <w:abstractNumId w:val="16"/>
  </w:num>
  <w:num w:numId="22">
    <w:abstractNumId w:val="11"/>
  </w:num>
  <w:num w:numId="23">
    <w:abstractNumId w:val="3"/>
  </w:num>
  <w:num w:numId="24">
    <w:abstractNumId w:val="17"/>
  </w:num>
  <w:num w:numId="25">
    <w:abstractNumId w:val="2"/>
  </w:num>
  <w:num w:numId="26">
    <w:abstractNumId w:val="27"/>
  </w:num>
  <w:num w:numId="27">
    <w:abstractNumId w:val="9"/>
  </w:num>
  <w:num w:numId="28">
    <w:abstractNumId w:val="18"/>
  </w:num>
  <w:num w:numId="29">
    <w:abstractNumId w:val="30"/>
  </w:num>
  <w:num w:numId="30">
    <w:abstractNumId w:val="26"/>
  </w:num>
  <w:num w:numId="31">
    <w:abstractNumId w:val="13"/>
  </w:num>
  <w:num w:numId="32">
    <w:abstractNumId w:val="34"/>
  </w:num>
  <w:num w:numId="33">
    <w:abstractNumId w:val="7"/>
  </w:num>
  <w:num w:numId="34">
    <w:abstractNumId w:val="21"/>
  </w:num>
  <w:num w:numId="35">
    <w:abstractNumId w:val="6"/>
  </w:num>
  <w:num w:numId="36">
    <w:abstractNumId w:val="15"/>
  </w:num>
  <w:num w:numId="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ołajczak, Marlena">
    <w15:presenceInfo w15:providerId="AD" w15:userId="S-1-5-21-789336058-1123561945-725345543-56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6"/>
    <w:rsid w:val="00004BAA"/>
    <w:rsid w:val="00013256"/>
    <w:rsid w:val="00023B04"/>
    <w:rsid w:val="00024080"/>
    <w:rsid w:val="00055219"/>
    <w:rsid w:val="000710BD"/>
    <w:rsid w:val="00090CB4"/>
    <w:rsid w:val="00097D21"/>
    <w:rsid w:val="000A38D0"/>
    <w:rsid w:val="000B2707"/>
    <w:rsid w:val="000B60CD"/>
    <w:rsid w:val="000C1D62"/>
    <w:rsid w:val="000C3F38"/>
    <w:rsid w:val="000E11F1"/>
    <w:rsid w:val="000F0392"/>
    <w:rsid w:val="00112915"/>
    <w:rsid w:val="00121DC0"/>
    <w:rsid w:val="0012340D"/>
    <w:rsid w:val="00124FEC"/>
    <w:rsid w:val="00130E21"/>
    <w:rsid w:val="00143B24"/>
    <w:rsid w:val="001458FD"/>
    <w:rsid w:val="001465A3"/>
    <w:rsid w:val="001536EF"/>
    <w:rsid w:val="00170E0D"/>
    <w:rsid w:val="00177BFD"/>
    <w:rsid w:val="00192DD1"/>
    <w:rsid w:val="001B152A"/>
    <w:rsid w:val="001B440A"/>
    <w:rsid w:val="001D353E"/>
    <w:rsid w:val="001E2E0C"/>
    <w:rsid w:val="001F0850"/>
    <w:rsid w:val="001F499D"/>
    <w:rsid w:val="00216CDB"/>
    <w:rsid w:val="00220E6E"/>
    <w:rsid w:val="002341C7"/>
    <w:rsid w:val="00242BE0"/>
    <w:rsid w:val="00243BEF"/>
    <w:rsid w:val="00257186"/>
    <w:rsid w:val="002612FF"/>
    <w:rsid w:val="002737AE"/>
    <w:rsid w:val="00281BE7"/>
    <w:rsid w:val="00286687"/>
    <w:rsid w:val="00286819"/>
    <w:rsid w:val="002B6A7C"/>
    <w:rsid w:val="002C097C"/>
    <w:rsid w:val="002C1D6A"/>
    <w:rsid w:val="002D1C48"/>
    <w:rsid w:val="002E0530"/>
    <w:rsid w:val="00303756"/>
    <w:rsid w:val="003077F0"/>
    <w:rsid w:val="0031356C"/>
    <w:rsid w:val="00321EFA"/>
    <w:rsid w:val="003408A3"/>
    <w:rsid w:val="00346CB0"/>
    <w:rsid w:val="003562D8"/>
    <w:rsid w:val="00357EB2"/>
    <w:rsid w:val="00375439"/>
    <w:rsid w:val="0038795D"/>
    <w:rsid w:val="003C1B34"/>
    <w:rsid w:val="003C5575"/>
    <w:rsid w:val="003E4B31"/>
    <w:rsid w:val="003E578E"/>
    <w:rsid w:val="003E70F6"/>
    <w:rsid w:val="00417A9B"/>
    <w:rsid w:val="00432444"/>
    <w:rsid w:val="00460EFC"/>
    <w:rsid w:val="00486BD1"/>
    <w:rsid w:val="00487DB3"/>
    <w:rsid w:val="00487E6B"/>
    <w:rsid w:val="004B0607"/>
    <w:rsid w:val="004C6971"/>
    <w:rsid w:val="004D669A"/>
    <w:rsid w:val="004D6CDD"/>
    <w:rsid w:val="004E2313"/>
    <w:rsid w:val="004E30FA"/>
    <w:rsid w:val="004E6364"/>
    <w:rsid w:val="004F4478"/>
    <w:rsid w:val="00511011"/>
    <w:rsid w:val="00516A3A"/>
    <w:rsid w:val="005214AA"/>
    <w:rsid w:val="00532FE4"/>
    <w:rsid w:val="0055197A"/>
    <w:rsid w:val="00551C05"/>
    <w:rsid w:val="00560B36"/>
    <w:rsid w:val="0056322A"/>
    <w:rsid w:val="005719A4"/>
    <w:rsid w:val="005762B7"/>
    <w:rsid w:val="00594AE4"/>
    <w:rsid w:val="005A41DA"/>
    <w:rsid w:val="005B5A6E"/>
    <w:rsid w:val="005B7393"/>
    <w:rsid w:val="005C057F"/>
    <w:rsid w:val="005E7890"/>
    <w:rsid w:val="005E79B9"/>
    <w:rsid w:val="005F3EAE"/>
    <w:rsid w:val="005F4AA7"/>
    <w:rsid w:val="005F7B39"/>
    <w:rsid w:val="005F7DC2"/>
    <w:rsid w:val="00614CDD"/>
    <w:rsid w:val="00623E3E"/>
    <w:rsid w:val="006265B3"/>
    <w:rsid w:val="00634424"/>
    <w:rsid w:val="006344E6"/>
    <w:rsid w:val="00634BB7"/>
    <w:rsid w:val="00636B37"/>
    <w:rsid w:val="00643AB7"/>
    <w:rsid w:val="00644CFD"/>
    <w:rsid w:val="00671C14"/>
    <w:rsid w:val="00672E84"/>
    <w:rsid w:val="00675EC4"/>
    <w:rsid w:val="00680548"/>
    <w:rsid w:val="006839E1"/>
    <w:rsid w:val="006856FE"/>
    <w:rsid w:val="00685F1A"/>
    <w:rsid w:val="0069098E"/>
    <w:rsid w:val="006A2088"/>
    <w:rsid w:val="006B26B1"/>
    <w:rsid w:val="006C69EF"/>
    <w:rsid w:val="006D1BB3"/>
    <w:rsid w:val="006E3D31"/>
    <w:rsid w:val="006E6C0F"/>
    <w:rsid w:val="006F5AB8"/>
    <w:rsid w:val="007133F1"/>
    <w:rsid w:val="00715071"/>
    <w:rsid w:val="007153D4"/>
    <w:rsid w:val="00722AEC"/>
    <w:rsid w:val="00726A24"/>
    <w:rsid w:val="00730601"/>
    <w:rsid w:val="007418CD"/>
    <w:rsid w:val="00744A05"/>
    <w:rsid w:val="00747762"/>
    <w:rsid w:val="0075044C"/>
    <w:rsid w:val="007678C3"/>
    <w:rsid w:val="007862C0"/>
    <w:rsid w:val="00793B17"/>
    <w:rsid w:val="007A2FA0"/>
    <w:rsid w:val="007A3B55"/>
    <w:rsid w:val="007B3D00"/>
    <w:rsid w:val="007C2C09"/>
    <w:rsid w:val="007F3476"/>
    <w:rsid w:val="007F762C"/>
    <w:rsid w:val="00817FA8"/>
    <w:rsid w:val="00833F11"/>
    <w:rsid w:val="00835117"/>
    <w:rsid w:val="00851171"/>
    <w:rsid w:val="00854DE4"/>
    <w:rsid w:val="0087543C"/>
    <w:rsid w:val="00875729"/>
    <w:rsid w:val="00887B91"/>
    <w:rsid w:val="00890ECA"/>
    <w:rsid w:val="00894447"/>
    <w:rsid w:val="00895AA8"/>
    <w:rsid w:val="00897B41"/>
    <w:rsid w:val="008C3E59"/>
    <w:rsid w:val="008D40C3"/>
    <w:rsid w:val="008D6546"/>
    <w:rsid w:val="008D7DD7"/>
    <w:rsid w:val="008F1716"/>
    <w:rsid w:val="008F6C50"/>
    <w:rsid w:val="00905033"/>
    <w:rsid w:val="009320ED"/>
    <w:rsid w:val="009321EF"/>
    <w:rsid w:val="00951184"/>
    <w:rsid w:val="0096179F"/>
    <w:rsid w:val="009674CB"/>
    <w:rsid w:val="0098172F"/>
    <w:rsid w:val="0098437E"/>
    <w:rsid w:val="0098739F"/>
    <w:rsid w:val="00987B33"/>
    <w:rsid w:val="009A1193"/>
    <w:rsid w:val="009B44EA"/>
    <w:rsid w:val="009C2EC4"/>
    <w:rsid w:val="009D1082"/>
    <w:rsid w:val="009D5EA3"/>
    <w:rsid w:val="009E3574"/>
    <w:rsid w:val="009F1B63"/>
    <w:rsid w:val="00A1317B"/>
    <w:rsid w:val="00A17609"/>
    <w:rsid w:val="00A21B2D"/>
    <w:rsid w:val="00A238D1"/>
    <w:rsid w:val="00A24218"/>
    <w:rsid w:val="00A34E7D"/>
    <w:rsid w:val="00A36964"/>
    <w:rsid w:val="00A40AF0"/>
    <w:rsid w:val="00A51C14"/>
    <w:rsid w:val="00A52321"/>
    <w:rsid w:val="00A542FC"/>
    <w:rsid w:val="00A543DB"/>
    <w:rsid w:val="00A74903"/>
    <w:rsid w:val="00A75226"/>
    <w:rsid w:val="00A8161A"/>
    <w:rsid w:val="00AA1717"/>
    <w:rsid w:val="00AA240B"/>
    <w:rsid w:val="00AA5E0B"/>
    <w:rsid w:val="00AB34F1"/>
    <w:rsid w:val="00AB48B4"/>
    <w:rsid w:val="00AD2E51"/>
    <w:rsid w:val="00AE1252"/>
    <w:rsid w:val="00AE2F50"/>
    <w:rsid w:val="00AE7B53"/>
    <w:rsid w:val="00AE7DAF"/>
    <w:rsid w:val="00AF39A9"/>
    <w:rsid w:val="00B036B0"/>
    <w:rsid w:val="00B24BA7"/>
    <w:rsid w:val="00B45306"/>
    <w:rsid w:val="00B77E7B"/>
    <w:rsid w:val="00B904C3"/>
    <w:rsid w:val="00B90701"/>
    <w:rsid w:val="00B966A6"/>
    <w:rsid w:val="00BA3860"/>
    <w:rsid w:val="00BB28F7"/>
    <w:rsid w:val="00BB66EA"/>
    <w:rsid w:val="00BD677F"/>
    <w:rsid w:val="00C01685"/>
    <w:rsid w:val="00C02D1A"/>
    <w:rsid w:val="00C040E3"/>
    <w:rsid w:val="00C16350"/>
    <w:rsid w:val="00C2625D"/>
    <w:rsid w:val="00C374ED"/>
    <w:rsid w:val="00C47D98"/>
    <w:rsid w:val="00C55797"/>
    <w:rsid w:val="00C94198"/>
    <w:rsid w:val="00C94EEB"/>
    <w:rsid w:val="00CB0854"/>
    <w:rsid w:val="00CC1E53"/>
    <w:rsid w:val="00CD6F0D"/>
    <w:rsid w:val="00CE36D6"/>
    <w:rsid w:val="00CF74C3"/>
    <w:rsid w:val="00CF76FB"/>
    <w:rsid w:val="00D00D62"/>
    <w:rsid w:val="00D06864"/>
    <w:rsid w:val="00D30604"/>
    <w:rsid w:val="00D40685"/>
    <w:rsid w:val="00D41189"/>
    <w:rsid w:val="00D4250C"/>
    <w:rsid w:val="00D5172C"/>
    <w:rsid w:val="00D54BF0"/>
    <w:rsid w:val="00D55B08"/>
    <w:rsid w:val="00D60295"/>
    <w:rsid w:val="00D6349E"/>
    <w:rsid w:val="00D74946"/>
    <w:rsid w:val="00D82267"/>
    <w:rsid w:val="00D904DE"/>
    <w:rsid w:val="00D9206C"/>
    <w:rsid w:val="00D94AF1"/>
    <w:rsid w:val="00D95379"/>
    <w:rsid w:val="00D954C3"/>
    <w:rsid w:val="00D97F00"/>
    <w:rsid w:val="00DB1308"/>
    <w:rsid w:val="00DC3B99"/>
    <w:rsid w:val="00DC4B2D"/>
    <w:rsid w:val="00DE57E0"/>
    <w:rsid w:val="00DF4B46"/>
    <w:rsid w:val="00E132AD"/>
    <w:rsid w:val="00E20A87"/>
    <w:rsid w:val="00E2355F"/>
    <w:rsid w:val="00E2621E"/>
    <w:rsid w:val="00E572A7"/>
    <w:rsid w:val="00E9225B"/>
    <w:rsid w:val="00EB2075"/>
    <w:rsid w:val="00EB49CB"/>
    <w:rsid w:val="00EB696A"/>
    <w:rsid w:val="00EC07BB"/>
    <w:rsid w:val="00EC3622"/>
    <w:rsid w:val="00ED26AE"/>
    <w:rsid w:val="00ED33BE"/>
    <w:rsid w:val="00EE07F6"/>
    <w:rsid w:val="00EE2193"/>
    <w:rsid w:val="00EE7D30"/>
    <w:rsid w:val="00EF4593"/>
    <w:rsid w:val="00EF5F4D"/>
    <w:rsid w:val="00EF7963"/>
    <w:rsid w:val="00F17A5A"/>
    <w:rsid w:val="00F17E4D"/>
    <w:rsid w:val="00F25628"/>
    <w:rsid w:val="00F348B2"/>
    <w:rsid w:val="00F501FA"/>
    <w:rsid w:val="00F55C2E"/>
    <w:rsid w:val="00F57684"/>
    <w:rsid w:val="00F60DBF"/>
    <w:rsid w:val="00F83828"/>
    <w:rsid w:val="00F84B8F"/>
    <w:rsid w:val="00F854F4"/>
    <w:rsid w:val="00F85A6E"/>
    <w:rsid w:val="00F92B94"/>
    <w:rsid w:val="00FB10B5"/>
    <w:rsid w:val="00FB1880"/>
    <w:rsid w:val="00FB2DCE"/>
    <w:rsid w:val="00FC01ED"/>
    <w:rsid w:val="00FD1A3D"/>
    <w:rsid w:val="00FD2C5B"/>
    <w:rsid w:val="00FF1CAB"/>
    <w:rsid w:val="00FF2173"/>
    <w:rsid w:val="00FF2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BB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F34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F3476"/>
    <w:pPr>
      <w:ind w:left="720"/>
      <w:contextualSpacing/>
    </w:pPr>
  </w:style>
  <w:style w:type="character" w:styleId="Odwoaniedokomentarza">
    <w:name w:val="annotation reference"/>
    <w:basedOn w:val="Domylnaczcionkaakapitu"/>
    <w:uiPriority w:val="99"/>
    <w:semiHidden/>
    <w:unhideWhenUsed/>
    <w:rsid w:val="00CE36D6"/>
    <w:rPr>
      <w:sz w:val="16"/>
      <w:szCs w:val="16"/>
    </w:rPr>
  </w:style>
  <w:style w:type="paragraph" w:styleId="Tekstkomentarza">
    <w:name w:val="annotation text"/>
    <w:basedOn w:val="Normalny"/>
    <w:link w:val="TekstkomentarzaZnak"/>
    <w:uiPriority w:val="99"/>
    <w:unhideWhenUsed/>
    <w:rsid w:val="00CE36D6"/>
    <w:pPr>
      <w:spacing w:line="240" w:lineRule="auto"/>
    </w:pPr>
    <w:rPr>
      <w:sz w:val="20"/>
      <w:szCs w:val="20"/>
    </w:rPr>
  </w:style>
  <w:style w:type="character" w:customStyle="1" w:styleId="TekstkomentarzaZnak">
    <w:name w:val="Tekst komentarza Znak"/>
    <w:basedOn w:val="Domylnaczcionkaakapitu"/>
    <w:link w:val="Tekstkomentarza"/>
    <w:uiPriority w:val="99"/>
    <w:rsid w:val="00CE36D6"/>
    <w:rPr>
      <w:sz w:val="20"/>
      <w:szCs w:val="20"/>
    </w:rPr>
  </w:style>
  <w:style w:type="paragraph" w:styleId="Tematkomentarza">
    <w:name w:val="annotation subject"/>
    <w:basedOn w:val="Tekstkomentarza"/>
    <w:next w:val="Tekstkomentarza"/>
    <w:link w:val="TematkomentarzaZnak"/>
    <w:uiPriority w:val="99"/>
    <w:semiHidden/>
    <w:unhideWhenUsed/>
    <w:rsid w:val="00CE36D6"/>
    <w:rPr>
      <w:b/>
      <w:bCs/>
    </w:rPr>
  </w:style>
  <w:style w:type="character" w:customStyle="1" w:styleId="TematkomentarzaZnak">
    <w:name w:val="Temat komentarza Znak"/>
    <w:basedOn w:val="TekstkomentarzaZnak"/>
    <w:link w:val="Tematkomentarza"/>
    <w:uiPriority w:val="99"/>
    <w:semiHidden/>
    <w:rsid w:val="00CE36D6"/>
    <w:rPr>
      <w:b/>
      <w:bCs/>
      <w:sz w:val="20"/>
      <w:szCs w:val="20"/>
    </w:rPr>
  </w:style>
  <w:style w:type="paragraph" w:styleId="Tekstdymka">
    <w:name w:val="Balloon Text"/>
    <w:basedOn w:val="Normalny"/>
    <w:link w:val="TekstdymkaZnak"/>
    <w:uiPriority w:val="99"/>
    <w:semiHidden/>
    <w:unhideWhenUsed/>
    <w:rsid w:val="00CE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6D6"/>
    <w:rPr>
      <w:rFonts w:ascii="Tahoma" w:hAnsi="Tahoma" w:cs="Tahoma"/>
      <w:sz w:val="16"/>
      <w:szCs w:val="16"/>
    </w:rPr>
  </w:style>
  <w:style w:type="paragraph" w:styleId="Tekstprzypisudolnego">
    <w:name w:val="footnote text"/>
    <w:basedOn w:val="Normalny"/>
    <w:link w:val="TekstprzypisudolnegoZnak"/>
    <w:uiPriority w:val="99"/>
    <w:semiHidden/>
    <w:unhideWhenUsed/>
    <w:rsid w:val="00BA38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3860"/>
    <w:rPr>
      <w:sz w:val="20"/>
      <w:szCs w:val="20"/>
    </w:rPr>
  </w:style>
  <w:style w:type="character" w:styleId="Odwoanieprzypisudolnego">
    <w:name w:val="footnote reference"/>
    <w:basedOn w:val="Domylnaczcionkaakapitu"/>
    <w:uiPriority w:val="99"/>
    <w:semiHidden/>
    <w:unhideWhenUsed/>
    <w:rsid w:val="00BA3860"/>
    <w:rPr>
      <w:vertAlign w:val="superscript"/>
    </w:rPr>
  </w:style>
  <w:style w:type="paragraph" w:styleId="Poprawka">
    <w:name w:val="Revision"/>
    <w:hidden/>
    <w:uiPriority w:val="99"/>
    <w:semiHidden/>
    <w:rsid w:val="006D1BB3"/>
    <w:pPr>
      <w:spacing w:after="0" w:line="240" w:lineRule="auto"/>
    </w:pPr>
  </w:style>
  <w:style w:type="character" w:styleId="Hipercze">
    <w:name w:val="Hyperlink"/>
    <w:basedOn w:val="Domylnaczcionkaakapitu"/>
    <w:uiPriority w:val="99"/>
    <w:unhideWhenUsed/>
    <w:rsid w:val="008D7DD7"/>
    <w:rPr>
      <w:color w:val="0000FF" w:themeColor="hyperlink"/>
      <w:u w:val="single"/>
    </w:rPr>
  </w:style>
  <w:style w:type="paragraph" w:customStyle="1" w:styleId="Default">
    <w:name w:val="Default"/>
    <w:rsid w:val="008D7DD7"/>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E572A7"/>
    <w:rPr>
      <w:color w:val="800080" w:themeColor="followedHyperlink"/>
      <w:u w:val="single"/>
    </w:rPr>
  </w:style>
  <w:style w:type="paragraph" w:styleId="Nagwek">
    <w:name w:val="header"/>
    <w:basedOn w:val="Normalny"/>
    <w:link w:val="NagwekZnak"/>
    <w:uiPriority w:val="99"/>
    <w:unhideWhenUsed/>
    <w:rsid w:val="003E4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B31"/>
  </w:style>
  <w:style w:type="paragraph" w:styleId="Stopka">
    <w:name w:val="footer"/>
    <w:basedOn w:val="Normalny"/>
    <w:link w:val="StopkaZnak"/>
    <w:uiPriority w:val="99"/>
    <w:unhideWhenUsed/>
    <w:rsid w:val="003E4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B31"/>
  </w:style>
  <w:style w:type="character" w:customStyle="1" w:styleId="AkapitzlistZnak">
    <w:name w:val="Akapit z listą Znak"/>
    <w:link w:val="Akapitzlist"/>
    <w:uiPriority w:val="34"/>
    <w:locked/>
    <w:rsid w:val="00112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F34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F3476"/>
    <w:pPr>
      <w:ind w:left="720"/>
      <w:contextualSpacing/>
    </w:pPr>
  </w:style>
  <w:style w:type="character" w:styleId="Odwoaniedokomentarza">
    <w:name w:val="annotation reference"/>
    <w:basedOn w:val="Domylnaczcionkaakapitu"/>
    <w:uiPriority w:val="99"/>
    <w:semiHidden/>
    <w:unhideWhenUsed/>
    <w:rsid w:val="00CE36D6"/>
    <w:rPr>
      <w:sz w:val="16"/>
      <w:szCs w:val="16"/>
    </w:rPr>
  </w:style>
  <w:style w:type="paragraph" w:styleId="Tekstkomentarza">
    <w:name w:val="annotation text"/>
    <w:basedOn w:val="Normalny"/>
    <w:link w:val="TekstkomentarzaZnak"/>
    <w:uiPriority w:val="99"/>
    <w:unhideWhenUsed/>
    <w:rsid w:val="00CE36D6"/>
    <w:pPr>
      <w:spacing w:line="240" w:lineRule="auto"/>
    </w:pPr>
    <w:rPr>
      <w:sz w:val="20"/>
      <w:szCs w:val="20"/>
    </w:rPr>
  </w:style>
  <w:style w:type="character" w:customStyle="1" w:styleId="TekstkomentarzaZnak">
    <w:name w:val="Tekst komentarza Znak"/>
    <w:basedOn w:val="Domylnaczcionkaakapitu"/>
    <w:link w:val="Tekstkomentarza"/>
    <w:uiPriority w:val="99"/>
    <w:rsid w:val="00CE36D6"/>
    <w:rPr>
      <w:sz w:val="20"/>
      <w:szCs w:val="20"/>
    </w:rPr>
  </w:style>
  <w:style w:type="paragraph" w:styleId="Tematkomentarza">
    <w:name w:val="annotation subject"/>
    <w:basedOn w:val="Tekstkomentarza"/>
    <w:next w:val="Tekstkomentarza"/>
    <w:link w:val="TematkomentarzaZnak"/>
    <w:uiPriority w:val="99"/>
    <w:semiHidden/>
    <w:unhideWhenUsed/>
    <w:rsid w:val="00CE36D6"/>
    <w:rPr>
      <w:b/>
      <w:bCs/>
    </w:rPr>
  </w:style>
  <w:style w:type="character" w:customStyle="1" w:styleId="TematkomentarzaZnak">
    <w:name w:val="Temat komentarza Znak"/>
    <w:basedOn w:val="TekstkomentarzaZnak"/>
    <w:link w:val="Tematkomentarza"/>
    <w:uiPriority w:val="99"/>
    <w:semiHidden/>
    <w:rsid w:val="00CE36D6"/>
    <w:rPr>
      <w:b/>
      <w:bCs/>
      <w:sz w:val="20"/>
      <w:szCs w:val="20"/>
    </w:rPr>
  </w:style>
  <w:style w:type="paragraph" w:styleId="Tekstdymka">
    <w:name w:val="Balloon Text"/>
    <w:basedOn w:val="Normalny"/>
    <w:link w:val="TekstdymkaZnak"/>
    <w:uiPriority w:val="99"/>
    <w:semiHidden/>
    <w:unhideWhenUsed/>
    <w:rsid w:val="00CE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6D6"/>
    <w:rPr>
      <w:rFonts w:ascii="Tahoma" w:hAnsi="Tahoma" w:cs="Tahoma"/>
      <w:sz w:val="16"/>
      <w:szCs w:val="16"/>
    </w:rPr>
  </w:style>
  <w:style w:type="paragraph" w:styleId="Tekstprzypisudolnego">
    <w:name w:val="footnote text"/>
    <w:basedOn w:val="Normalny"/>
    <w:link w:val="TekstprzypisudolnegoZnak"/>
    <w:uiPriority w:val="99"/>
    <w:semiHidden/>
    <w:unhideWhenUsed/>
    <w:rsid w:val="00BA38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3860"/>
    <w:rPr>
      <w:sz w:val="20"/>
      <w:szCs w:val="20"/>
    </w:rPr>
  </w:style>
  <w:style w:type="character" w:styleId="Odwoanieprzypisudolnego">
    <w:name w:val="footnote reference"/>
    <w:basedOn w:val="Domylnaczcionkaakapitu"/>
    <w:uiPriority w:val="99"/>
    <w:semiHidden/>
    <w:unhideWhenUsed/>
    <w:rsid w:val="00BA3860"/>
    <w:rPr>
      <w:vertAlign w:val="superscript"/>
    </w:rPr>
  </w:style>
  <w:style w:type="paragraph" w:styleId="Poprawka">
    <w:name w:val="Revision"/>
    <w:hidden/>
    <w:uiPriority w:val="99"/>
    <w:semiHidden/>
    <w:rsid w:val="006D1BB3"/>
    <w:pPr>
      <w:spacing w:after="0" w:line="240" w:lineRule="auto"/>
    </w:pPr>
  </w:style>
  <w:style w:type="character" w:styleId="Hipercze">
    <w:name w:val="Hyperlink"/>
    <w:basedOn w:val="Domylnaczcionkaakapitu"/>
    <w:uiPriority w:val="99"/>
    <w:unhideWhenUsed/>
    <w:rsid w:val="008D7DD7"/>
    <w:rPr>
      <w:color w:val="0000FF" w:themeColor="hyperlink"/>
      <w:u w:val="single"/>
    </w:rPr>
  </w:style>
  <w:style w:type="paragraph" w:customStyle="1" w:styleId="Default">
    <w:name w:val="Default"/>
    <w:rsid w:val="008D7DD7"/>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E572A7"/>
    <w:rPr>
      <w:color w:val="800080" w:themeColor="followedHyperlink"/>
      <w:u w:val="single"/>
    </w:rPr>
  </w:style>
  <w:style w:type="paragraph" w:styleId="Nagwek">
    <w:name w:val="header"/>
    <w:basedOn w:val="Normalny"/>
    <w:link w:val="NagwekZnak"/>
    <w:uiPriority w:val="99"/>
    <w:unhideWhenUsed/>
    <w:rsid w:val="003E4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B31"/>
  </w:style>
  <w:style w:type="paragraph" w:styleId="Stopka">
    <w:name w:val="footer"/>
    <w:basedOn w:val="Normalny"/>
    <w:link w:val="StopkaZnak"/>
    <w:uiPriority w:val="99"/>
    <w:unhideWhenUsed/>
    <w:rsid w:val="003E4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B31"/>
  </w:style>
  <w:style w:type="character" w:customStyle="1" w:styleId="AkapitzlistZnak">
    <w:name w:val="Akapit z listą Znak"/>
    <w:link w:val="Akapitzlist"/>
    <w:uiPriority w:val="34"/>
    <w:locked/>
    <w:rsid w:val="0011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0998">
      <w:bodyDiv w:val="1"/>
      <w:marLeft w:val="0"/>
      <w:marRight w:val="0"/>
      <w:marTop w:val="0"/>
      <w:marBottom w:val="0"/>
      <w:divBdr>
        <w:top w:val="none" w:sz="0" w:space="0" w:color="auto"/>
        <w:left w:val="none" w:sz="0" w:space="0" w:color="auto"/>
        <w:bottom w:val="none" w:sz="0" w:space="0" w:color="auto"/>
        <w:right w:val="none" w:sz="0" w:space="0" w:color="auto"/>
      </w:divBdr>
    </w:div>
    <w:div w:id="20861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7361-45F7-41DF-A94C-BA8453D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1525</Words>
  <Characters>9151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Baczewski, Jacek</dc:creator>
  <cp:lastModifiedBy>Użytkownik systemu Windows</cp:lastModifiedBy>
  <cp:revision>7</cp:revision>
  <cp:lastPrinted>2021-09-09T08:40:00Z</cp:lastPrinted>
  <dcterms:created xsi:type="dcterms:W3CDTF">2021-09-09T08:16:00Z</dcterms:created>
  <dcterms:modified xsi:type="dcterms:W3CDTF">2021-09-09T08:50:00Z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Krzysztof.Lesniak@bgk.pl</vt:lpwstr>
  </property>
  <property fmtid="{D5CDD505-2E9C-101B-9397-08002B2CF9AE}" pid="5" name="MSIP_Label_ffd642cb-f5ac-4f9c-8f91-3377ed972e0d_SetDate">
    <vt:lpwstr>2019-04-29T14:16:59.9516635Z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Krzysztof.Lesniak@bgk.pl</vt:lpwstr>
  </property>
  <property fmtid="{D5CDD505-2E9C-101B-9397-08002B2CF9AE}" pid="12" name="MSIP_Label_c668bcff-e2d1-47e2-adc1-b3354af02961_SetDate">
    <vt:lpwstr>2019-04-29T14:16:59.9516635Z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